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E3026" w14:textId="708A946A" w:rsidR="00F60FF6" w:rsidRPr="004610D7" w:rsidRDefault="002417CD" w:rsidP="00F60FF6">
      <w:pPr>
        <w:spacing w:line="300" w:lineRule="exact"/>
        <w:rPr>
          <w:iCs/>
          <w:color w:val="000000"/>
        </w:rPr>
      </w:pPr>
      <w:r>
        <w:rPr>
          <w:iCs/>
          <w:color w:val="000000"/>
        </w:rPr>
        <w:t xml:space="preserve"> </w:t>
      </w:r>
    </w:p>
    <w:tbl>
      <w:tblPr>
        <w:tblpPr w:leftFromText="142" w:rightFromText="142" w:vertAnchor="page" w:horzAnchor="page" w:tblpX="1375" w:tblpY="568"/>
        <w:tblOverlap w:val="never"/>
        <w:tblW w:w="9360" w:type="dxa"/>
        <w:tblLayout w:type="fixed"/>
        <w:tblCellMar>
          <w:left w:w="0" w:type="dxa"/>
          <w:right w:w="0" w:type="dxa"/>
        </w:tblCellMar>
        <w:tblLook w:val="01E0" w:firstRow="1" w:lastRow="1" w:firstColumn="1" w:lastColumn="1" w:noHBand="0" w:noVBand="0"/>
      </w:tblPr>
      <w:tblGrid>
        <w:gridCol w:w="3163"/>
        <w:gridCol w:w="3437"/>
        <w:gridCol w:w="2760"/>
      </w:tblGrid>
      <w:tr w:rsidR="00F60FF6" w:rsidRPr="004610D7" w14:paraId="0F78F4C7" w14:textId="77777777" w:rsidTr="008C03BE">
        <w:trPr>
          <w:cantSplit/>
          <w:trHeight w:hRule="exact" w:val="732"/>
        </w:trPr>
        <w:tc>
          <w:tcPr>
            <w:tcW w:w="3163" w:type="dxa"/>
            <w:tcBorders>
              <w:top w:val="single" w:sz="4" w:space="0" w:color="auto"/>
              <w:bottom w:val="single" w:sz="4" w:space="0" w:color="auto"/>
            </w:tcBorders>
          </w:tcPr>
          <w:p w14:paraId="79F9E7DC" w14:textId="77777777" w:rsidR="00F60FF6" w:rsidRPr="004610D7" w:rsidRDefault="00F60FF6" w:rsidP="008C03BE">
            <w:pPr>
              <w:spacing w:before="120"/>
              <w:rPr>
                <w:rFonts w:cs="Times New Roman"/>
                <w:b/>
                <w:bCs/>
                <w:lang w:val="en-GB"/>
              </w:rPr>
            </w:pPr>
          </w:p>
        </w:tc>
        <w:tc>
          <w:tcPr>
            <w:tcW w:w="3437" w:type="dxa"/>
            <w:tcBorders>
              <w:top w:val="single" w:sz="4" w:space="0" w:color="auto"/>
              <w:bottom w:val="single" w:sz="4" w:space="0" w:color="auto"/>
            </w:tcBorders>
          </w:tcPr>
          <w:p w14:paraId="0340DCC2" w14:textId="77777777" w:rsidR="00F60FF6" w:rsidRPr="004610D7" w:rsidRDefault="00F60FF6" w:rsidP="008C03BE">
            <w:pPr>
              <w:spacing w:before="120" w:line="420" w:lineRule="exact"/>
              <w:rPr>
                <w:rFonts w:cs="Times New Roman"/>
                <w:lang w:val="en-GB"/>
              </w:rPr>
            </w:pPr>
          </w:p>
        </w:tc>
        <w:tc>
          <w:tcPr>
            <w:tcW w:w="2760" w:type="dxa"/>
            <w:tcBorders>
              <w:top w:val="single" w:sz="4" w:space="0" w:color="auto"/>
              <w:bottom w:val="single" w:sz="4" w:space="0" w:color="auto"/>
            </w:tcBorders>
          </w:tcPr>
          <w:p w14:paraId="42FA1809" w14:textId="78ECD9F5" w:rsidR="00F60FF6" w:rsidRPr="003748FC" w:rsidRDefault="00F60FF6" w:rsidP="003748FC">
            <w:pPr>
              <w:spacing w:before="240" w:line="240" w:lineRule="exact"/>
              <w:rPr>
                <w:rFonts w:ascii="Book Antiqua" w:hAnsi="Book Antiqua" w:cs="Times New Roman"/>
                <w:lang w:val="en-GB"/>
              </w:rPr>
            </w:pPr>
            <w:r w:rsidRPr="003748FC">
              <w:rPr>
                <w:rFonts w:ascii="Book Antiqua" w:hAnsi="Book Antiqua" w:cs="Times New Roman"/>
                <w:lang w:val="en-GB"/>
              </w:rPr>
              <w:t>NEASPEC/</w:t>
            </w:r>
            <w:proofErr w:type="gramStart"/>
            <w:r w:rsidRPr="003748FC">
              <w:rPr>
                <w:rFonts w:ascii="Book Antiqua" w:hAnsi="Book Antiqua" w:cs="Times New Roman"/>
                <w:lang w:val="en-GB"/>
              </w:rPr>
              <w:t>SOM(</w:t>
            </w:r>
            <w:proofErr w:type="gramEnd"/>
            <w:r w:rsidRPr="000D61B1">
              <w:rPr>
                <w:rFonts w:ascii="Book Antiqua" w:hAnsi="Book Antiqua" w:cs="Times New Roman"/>
                <w:lang w:val="en-GB"/>
              </w:rPr>
              <w:t>2</w:t>
            </w:r>
            <w:r w:rsidR="00E35E47" w:rsidRPr="000D61B1">
              <w:rPr>
                <w:rFonts w:ascii="Book Antiqua" w:hAnsi="Book Antiqua" w:cs="Times New Roman"/>
                <w:lang w:val="en-GB"/>
              </w:rPr>
              <w:t>4</w:t>
            </w:r>
            <w:r w:rsidRPr="000D61B1">
              <w:rPr>
                <w:rFonts w:ascii="Book Antiqua" w:hAnsi="Book Antiqua" w:cs="Times New Roman"/>
                <w:lang w:val="en-GB"/>
              </w:rPr>
              <w:t>)</w:t>
            </w:r>
            <w:r w:rsidR="00250E45" w:rsidRPr="000D61B1">
              <w:rPr>
                <w:rFonts w:ascii="Book Antiqua" w:hAnsi="Book Antiqua" w:cs="Times New Roman"/>
                <w:lang w:val="en-GB"/>
              </w:rPr>
              <w:t>/</w:t>
            </w:r>
            <w:r w:rsidR="00163BD3">
              <w:rPr>
                <w:rFonts w:ascii="Book Antiqua" w:hAnsi="Book Antiqua" w:cs="Times New Roman"/>
                <w:lang w:val="en-GB"/>
              </w:rPr>
              <w:t>6</w:t>
            </w:r>
          </w:p>
        </w:tc>
      </w:tr>
      <w:tr w:rsidR="00F60FF6" w:rsidRPr="00AA3D18" w14:paraId="44B7CAAD" w14:textId="77777777" w:rsidTr="003748FC">
        <w:trPr>
          <w:cantSplit/>
          <w:trHeight w:hRule="exact" w:val="1399"/>
        </w:trPr>
        <w:tc>
          <w:tcPr>
            <w:tcW w:w="3163" w:type="dxa"/>
            <w:tcBorders>
              <w:top w:val="single" w:sz="4" w:space="0" w:color="auto"/>
              <w:bottom w:val="single" w:sz="12" w:space="0" w:color="auto"/>
            </w:tcBorders>
          </w:tcPr>
          <w:p w14:paraId="2E533229" w14:textId="77777777" w:rsidR="00F60FF6" w:rsidRPr="00AA3D18" w:rsidRDefault="00F60FF6" w:rsidP="008C03BE">
            <w:pPr>
              <w:spacing w:before="120"/>
              <w:rPr>
                <w:rFonts w:cs="Times New Roman"/>
                <w:b/>
                <w:bCs/>
                <w:lang w:val="en-GB"/>
              </w:rPr>
            </w:pPr>
            <w:r>
              <w:rPr>
                <w:noProof/>
              </w:rPr>
              <w:drawing>
                <wp:inline distT="0" distB="0" distL="0" distR="0" wp14:anchorId="0E20D46D" wp14:editId="1C820B81">
                  <wp:extent cx="1723549" cy="5583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0192" cy="560503"/>
                          </a:xfrm>
                          <a:prstGeom prst="rect">
                            <a:avLst/>
                          </a:prstGeom>
                          <a:noFill/>
                          <a:ln>
                            <a:noFill/>
                          </a:ln>
                          <a:effectLst/>
                        </pic:spPr>
                      </pic:pic>
                    </a:graphicData>
                  </a:graphic>
                </wp:inline>
              </w:drawing>
            </w:r>
          </w:p>
        </w:tc>
        <w:tc>
          <w:tcPr>
            <w:tcW w:w="3437" w:type="dxa"/>
            <w:tcBorders>
              <w:top w:val="single" w:sz="4" w:space="0" w:color="auto"/>
              <w:bottom w:val="single" w:sz="12" w:space="0" w:color="auto"/>
            </w:tcBorders>
          </w:tcPr>
          <w:p w14:paraId="48B82DC1" w14:textId="77777777" w:rsidR="00F60FF6" w:rsidRPr="00F954CB" w:rsidRDefault="00F60FF6" w:rsidP="008C03BE">
            <w:pPr>
              <w:spacing w:before="120" w:line="420" w:lineRule="exact"/>
              <w:rPr>
                <w:rFonts w:cs="Times New Roman"/>
              </w:rPr>
            </w:pPr>
          </w:p>
        </w:tc>
        <w:tc>
          <w:tcPr>
            <w:tcW w:w="2760" w:type="dxa"/>
            <w:tcBorders>
              <w:top w:val="single" w:sz="4" w:space="0" w:color="auto"/>
              <w:bottom w:val="single" w:sz="12" w:space="0" w:color="auto"/>
            </w:tcBorders>
          </w:tcPr>
          <w:p w14:paraId="5CC01D4D" w14:textId="77777777" w:rsidR="00F60FF6" w:rsidRPr="003748FC" w:rsidRDefault="00F60FF6" w:rsidP="008C03BE">
            <w:pPr>
              <w:ind w:left="120"/>
              <w:rPr>
                <w:rFonts w:ascii="Book Antiqua" w:eastAsia="바탕" w:hAnsi="Book Antiqua" w:cs="Times New Roman"/>
                <w:szCs w:val="24"/>
              </w:rPr>
            </w:pPr>
          </w:p>
          <w:p w14:paraId="51310B28" w14:textId="77777777" w:rsidR="00F60FF6" w:rsidRPr="003748FC" w:rsidRDefault="00F60FF6" w:rsidP="008C03BE">
            <w:pPr>
              <w:rPr>
                <w:rFonts w:ascii="Book Antiqua" w:eastAsia="SimSun" w:hAnsi="Book Antiqua" w:cs="Times New Roman"/>
              </w:rPr>
            </w:pPr>
            <w:r w:rsidRPr="003748FC">
              <w:rPr>
                <w:rFonts w:ascii="Book Antiqua" w:eastAsia="SimSun" w:hAnsi="Book Antiqua" w:cs="Times New Roman"/>
              </w:rPr>
              <w:t>Distr.: Limited</w:t>
            </w:r>
          </w:p>
          <w:p w14:paraId="6185E4DB" w14:textId="2E053A0C" w:rsidR="00F60FF6" w:rsidRPr="003748FC" w:rsidRDefault="002961C9" w:rsidP="008C03BE">
            <w:pPr>
              <w:rPr>
                <w:rFonts w:ascii="Book Antiqua" w:eastAsia="SimSun" w:hAnsi="Book Antiqua" w:cs="Times New Roman"/>
              </w:rPr>
            </w:pPr>
            <w:r>
              <w:rPr>
                <w:rFonts w:ascii="Book Antiqua" w:eastAsia="SimSun" w:hAnsi="Book Antiqua" w:cs="Times New Roman"/>
              </w:rPr>
              <w:t>10</w:t>
            </w:r>
            <w:r w:rsidR="00717D95" w:rsidRPr="0077238F">
              <w:rPr>
                <w:rFonts w:ascii="Book Antiqua" w:eastAsia="SimSun" w:hAnsi="Book Antiqua" w:cs="Times New Roman"/>
              </w:rPr>
              <w:t xml:space="preserve"> September </w:t>
            </w:r>
            <w:r w:rsidR="001676ED" w:rsidRPr="0077238F">
              <w:rPr>
                <w:rFonts w:ascii="Book Antiqua" w:eastAsia="SimSun" w:hAnsi="Book Antiqua" w:cs="Times New Roman"/>
              </w:rPr>
              <w:t>20</w:t>
            </w:r>
            <w:r w:rsidR="00E35E47">
              <w:rPr>
                <w:rFonts w:ascii="Book Antiqua" w:eastAsia="SimSun" w:hAnsi="Book Antiqua" w:cs="Times New Roman"/>
              </w:rPr>
              <w:t>20</w:t>
            </w:r>
            <w:r w:rsidR="001676ED">
              <w:rPr>
                <w:rFonts w:ascii="Book Antiqua" w:eastAsia="SimSun" w:hAnsi="Book Antiqua" w:cs="Times New Roman"/>
              </w:rPr>
              <w:t xml:space="preserve"> </w:t>
            </w:r>
          </w:p>
          <w:p w14:paraId="68A991E7" w14:textId="77777777" w:rsidR="00F60FF6" w:rsidRPr="003748FC" w:rsidRDefault="00F60FF6" w:rsidP="008C03BE">
            <w:pPr>
              <w:rPr>
                <w:rFonts w:ascii="Book Antiqua" w:eastAsia="SimSun" w:hAnsi="Book Antiqua" w:cs="Times New Roman"/>
              </w:rPr>
            </w:pPr>
          </w:p>
          <w:p w14:paraId="4C4F3DC8" w14:textId="77777777" w:rsidR="00F60FF6" w:rsidRPr="003748FC" w:rsidRDefault="00F60FF6" w:rsidP="008C03BE">
            <w:pPr>
              <w:rPr>
                <w:rFonts w:ascii="Book Antiqua" w:eastAsia="SimSun" w:hAnsi="Book Antiqua" w:cs="Times New Roman"/>
              </w:rPr>
            </w:pPr>
            <w:r w:rsidRPr="003748FC">
              <w:rPr>
                <w:rFonts w:ascii="Book Antiqua" w:eastAsia="SimSun" w:hAnsi="Book Antiqua" w:cs="Times New Roman"/>
              </w:rPr>
              <w:t>English only</w:t>
            </w:r>
          </w:p>
          <w:p w14:paraId="17020CF5" w14:textId="77777777" w:rsidR="00F60FF6" w:rsidRPr="003748FC" w:rsidRDefault="00F60FF6" w:rsidP="008C03BE">
            <w:pPr>
              <w:ind w:left="43"/>
              <w:rPr>
                <w:rFonts w:ascii="Book Antiqua" w:hAnsi="Book Antiqua" w:cs="Times New Roman"/>
              </w:rPr>
            </w:pPr>
            <w:r w:rsidRPr="003748FC">
              <w:rPr>
                <w:rFonts w:ascii="Book Antiqua" w:hAnsi="Book Antiqua" w:cs="Times New Roman"/>
              </w:rPr>
              <w:t xml:space="preserve"> </w:t>
            </w:r>
          </w:p>
        </w:tc>
      </w:tr>
    </w:tbl>
    <w:p w14:paraId="59E7271D" w14:textId="77777777" w:rsidR="00F60FF6" w:rsidRPr="003748FC" w:rsidRDefault="00F60FF6" w:rsidP="00F60FF6">
      <w:pPr>
        <w:snapToGrid w:val="0"/>
        <w:spacing w:after="120" w:line="340" w:lineRule="atLeast"/>
        <w:rPr>
          <w:rFonts w:ascii="Book Antiqua" w:hAnsi="Book Antiqua"/>
          <w:b/>
          <w:bCs/>
          <w:color w:val="000000"/>
        </w:rPr>
      </w:pPr>
      <w:r w:rsidRPr="003748FC">
        <w:rPr>
          <w:rFonts w:ascii="Book Antiqua" w:hAnsi="Book Antiqua"/>
          <w:b/>
          <w:bCs/>
          <w:color w:val="000000"/>
        </w:rPr>
        <w:t>UNITED NATIONS</w:t>
      </w:r>
    </w:p>
    <w:p w14:paraId="13D45C54" w14:textId="77777777" w:rsidR="00F60FF6" w:rsidRPr="003748FC" w:rsidRDefault="00F60FF6" w:rsidP="00F60FF6">
      <w:pPr>
        <w:snapToGrid w:val="0"/>
        <w:spacing w:after="120" w:line="340" w:lineRule="atLeast"/>
        <w:rPr>
          <w:rFonts w:ascii="Book Antiqua" w:hAnsi="Book Antiqua"/>
          <w:b/>
          <w:bCs/>
          <w:color w:val="000000"/>
        </w:rPr>
      </w:pPr>
      <w:r w:rsidRPr="003748FC">
        <w:rPr>
          <w:rFonts w:ascii="Book Antiqua" w:hAnsi="Book Antiqua"/>
          <w:b/>
          <w:bCs/>
          <w:color w:val="000000"/>
        </w:rPr>
        <w:t>ECONOMIC AND SOCIAL COMMISSION FOR ASIA AND THE PACIFIC</w:t>
      </w:r>
    </w:p>
    <w:p w14:paraId="54E6BF5B" w14:textId="4EA2CCD2" w:rsidR="00F60FF6" w:rsidRPr="003748FC" w:rsidRDefault="00F60FF6" w:rsidP="00F60FF6">
      <w:pPr>
        <w:snapToGrid w:val="0"/>
        <w:spacing w:after="120" w:line="340" w:lineRule="atLeast"/>
        <w:rPr>
          <w:rFonts w:ascii="Book Antiqua" w:hAnsi="Book Antiqua" w:cs="Arial"/>
          <w:iCs/>
          <w:color w:val="000000"/>
        </w:rPr>
      </w:pPr>
      <w:r w:rsidRPr="003748FC">
        <w:rPr>
          <w:rFonts w:ascii="Book Antiqua" w:hAnsi="Book Antiqua" w:cs="Arial"/>
          <w:iCs/>
          <w:color w:val="000000"/>
        </w:rPr>
        <w:t>Twent</w:t>
      </w:r>
      <w:r w:rsidR="009728C4">
        <w:rPr>
          <w:rFonts w:ascii="Book Antiqua" w:hAnsi="Book Antiqua" w:cs="Arial"/>
          <w:iCs/>
          <w:color w:val="000000"/>
        </w:rPr>
        <w:t>y-</w:t>
      </w:r>
      <w:r w:rsidR="00E35E47">
        <w:rPr>
          <w:rFonts w:ascii="Book Antiqua" w:hAnsi="Book Antiqua" w:cs="Arial"/>
          <w:iCs/>
          <w:color w:val="000000"/>
        </w:rPr>
        <w:t>fourth</w:t>
      </w:r>
      <w:r w:rsidRPr="003748FC">
        <w:rPr>
          <w:rFonts w:ascii="Book Antiqua" w:hAnsi="Book Antiqua" w:cs="Arial"/>
          <w:iCs/>
          <w:color w:val="000000"/>
        </w:rPr>
        <w:t xml:space="preserve"> Senior Officials Meeting (SOM) of NEASPEC</w:t>
      </w:r>
    </w:p>
    <w:p w14:paraId="3347F2C8" w14:textId="543FA81D" w:rsidR="00F60FF6" w:rsidRPr="003748FC" w:rsidRDefault="00E35E47" w:rsidP="00F60FF6">
      <w:pPr>
        <w:snapToGrid w:val="0"/>
        <w:spacing w:after="120" w:line="340" w:lineRule="atLeast"/>
        <w:rPr>
          <w:rFonts w:ascii="Book Antiqua" w:hAnsi="Book Antiqua"/>
          <w:color w:val="000000"/>
        </w:rPr>
      </w:pPr>
      <w:r>
        <w:rPr>
          <w:rFonts w:ascii="Book Antiqua" w:hAnsi="Book Antiqua"/>
          <w:color w:val="000000"/>
        </w:rPr>
        <w:t>12</w:t>
      </w:r>
      <w:r w:rsidR="009728C4">
        <w:rPr>
          <w:rFonts w:ascii="Book Antiqua" w:hAnsi="Book Antiqua"/>
          <w:color w:val="000000"/>
        </w:rPr>
        <w:t>-</w:t>
      </w:r>
      <w:r w:rsidR="00713B41">
        <w:rPr>
          <w:rFonts w:ascii="Book Antiqua" w:hAnsi="Book Antiqua"/>
          <w:color w:val="000000"/>
        </w:rPr>
        <w:t>1</w:t>
      </w:r>
      <w:r>
        <w:rPr>
          <w:rFonts w:ascii="Book Antiqua" w:hAnsi="Book Antiqua"/>
          <w:color w:val="000000"/>
        </w:rPr>
        <w:t>3</w:t>
      </w:r>
      <w:r w:rsidR="009728C4">
        <w:rPr>
          <w:rFonts w:ascii="Book Antiqua" w:hAnsi="Book Antiqua"/>
          <w:color w:val="000000"/>
        </w:rPr>
        <w:t xml:space="preserve"> October 20</w:t>
      </w:r>
      <w:r>
        <w:rPr>
          <w:rFonts w:ascii="Book Antiqua" w:hAnsi="Book Antiqua"/>
          <w:color w:val="000000"/>
        </w:rPr>
        <w:t>20</w:t>
      </w:r>
    </w:p>
    <w:p w14:paraId="6A39ABA2" w14:textId="31157EC5" w:rsidR="00F60FF6" w:rsidRPr="003748FC" w:rsidRDefault="00E35E47" w:rsidP="00F60FF6">
      <w:pPr>
        <w:spacing w:after="120" w:line="340" w:lineRule="atLeast"/>
        <w:rPr>
          <w:rFonts w:ascii="Book Antiqua" w:hAnsi="Book Antiqua"/>
          <w:iCs/>
          <w:color w:val="000000"/>
        </w:rPr>
      </w:pPr>
      <w:r>
        <w:rPr>
          <w:rFonts w:ascii="Book Antiqua" w:hAnsi="Book Antiqua"/>
          <w:iCs/>
          <w:color w:val="000000"/>
        </w:rPr>
        <w:t>Virtual meeting</w:t>
      </w:r>
    </w:p>
    <w:p w14:paraId="417A62E8" w14:textId="77777777" w:rsidR="00F60FF6" w:rsidRPr="003748FC" w:rsidRDefault="00F60FF6" w:rsidP="00F60FF6">
      <w:pPr>
        <w:spacing w:after="120" w:line="340" w:lineRule="atLeast"/>
        <w:rPr>
          <w:rFonts w:ascii="Book Antiqua" w:hAnsi="Book Antiqua"/>
          <w:iCs/>
          <w:color w:val="000000"/>
        </w:rPr>
      </w:pPr>
    </w:p>
    <w:p w14:paraId="0F313E31" w14:textId="30FA023F" w:rsidR="00F60FF6" w:rsidRPr="003748FC" w:rsidRDefault="00507373" w:rsidP="00F60FF6">
      <w:pPr>
        <w:spacing w:after="120" w:line="340" w:lineRule="atLeast"/>
        <w:jc w:val="center"/>
        <w:rPr>
          <w:rFonts w:ascii="Book Antiqua" w:hAnsi="Book Antiqua"/>
          <w:b/>
          <w:bCs/>
          <w:iCs/>
          <w:color w:val="000000"/>
        </w:rPr>
      </w:pPr>
      <w:r>
        <w:rPr>
          <w:rFonts w:ascii="Book Antiqua" w:hAnsi="Book Antiqua"/>
          <w:b/>
          <w:bCs/>
          <w:color w:val="000000"/>
        </w:rPr>
        <w:t xml:space="preserve">Review of the </w:t>
      </w:r>
      <w:r w:rsidR="00713B41">
        <w:rPr>
          <w:rFonts w:ascii="Book Antiqua" w:hAnsi="Book Antiqua"/>
          <w:b/>
          <w:bCs/>
          <w:color w:val="000000"/>
        </w:rPr>
        <w:t>NEASPEC Strategic Plan</w:t>
      </w:r>
    </w:p>
    <w:p w14:paraId="6F2BA475" w14:textId="1472C90A" w:rsidR="00F60FF6" w:rsidRDefault="00F60FF6" w:rsidP="00F60FF6">
      <w:pPr>
        <w:spacing w:after="120" w:line="340" w:lineRule="atLeast"/>
        <w:jc w:val="center"/>
        <w:rPr>
          <w:rFonts w:ascii="Book Antiqua" w:hAnsi="Book Antiqua"/>
          <w:iCs/>
          <w:color w:val="000000"/>
        </w:rPr>
      </w:pPr>
      <w:r w:rsidRPr="003748FC">
        <w:rPr>
          <w:rFonts w:ascii="Book Antiqua" w:hAnsi="Book Antiqua"/>
          <w:iCs/>
          <w:color w:val="000000"/>
        </w:rPr>
        <w:t>(Item (</w:t>
      </w:r>
      <w:r w:rsidR="00F57069">
        <w:rPr>
          <w:rFonts w:ascii="Book Antiqua" w:hAnsi="Book Antiqua"/>
          <w:iCs/>
          <w:color w:val="000000"/>
        </w:rPr>
        <w:t>6</w:t>
      </w:r>
      <w:r w:rsidRPr="003748FC">
        <w:rPr>
          <w:rFonts w:ascii="Book Antiqua" w:hAnsi="Book Antiqua"/>
          <w:iCs/>
          <w:color w:val="000000"/>
        </w:rPr>
        <w:t>) of the provisional agenda)</w:t>
      </w:r>
    </w:p>
    <w:p w14:paraId="7BE046DB" w14:textId="3C299034" w:rsidR="002274AE" w:rsidRPr="00EC2B08" w:rsidRDefault="002274AE" w:rsidP="00F60FF6">
      <w:pPr>
        <w:spacing w:after="120" w:line="340" w:lineRule="atLeast"/>
        <w:jc w:val="center"/>
        <w:rPr>
          <w:rFonts w:ascii="Book Antiqua" w:hAnsi="Book Antiqua"/>
          <w:b/>
          <w:bCs/>
          <w:iCs/>
          <w:color w:val="000000"/>
        </w:rPr>
      </w:pPr>
      <w:r w:rsidRPr="00EC2B08">
        <w:rPr>
          <w:rFonts w:ascii="Book Antiqua" w:hAnsi="Book Antiqua"/>
          <w:b/>
          <w:bCs/>
          <w:iCs/>
          <w:color w:val="000000"/>
        </w:rPr>
        <w:t>Draft NEASPEC Strategic Plan 2021-2025</w:t>
      </w:r>
    </w:p>
    <w:p w14:paraId="69617DB6" w14:textId="77777777" w:rsidR="00F60FF6" w:rsidRPr="003748FC" w:rsidRDefault="00F60FF6" w:rsidP="00C057FC">
      <w:pPr>
        <w:snapToGrid w:val="0"/>
        <w:ind w:right="29"/>
        <w:rPr>
          <w:rFonts w:ascii="Book Antiqua" w:hAnsi="Book Antiqua"/>
          <w:b/>
          <w:bCs/>
          <w:color w:val="000000"/>
        </w:rPr>
      </w:pPr>
    </w:p>
    <w:p w14:paraId="5C208CC7" w14:textId="3E9E7367" w:rsidR="00F60FF6" w:rsidRDefault="00F60FF6" w:rsidP="00F60FF6">
      <w:pPr>
        <w:snapToGrid w:val="0"/>
        <w:ind w:right="29"/>
        <w:jc w:val="center"/>
        <w:rPr>
          <w:rFonts w:ascii="Book Antiqua" w:hAnsi="Book Antiqua"/>
          <w:bCs/>
          <w:i/>
          <w:color w:val="000000"/>
        </w:rPr>
      </w:pPr>
      <w:r w:rsidRPr="003748FC">
        <w:rPr>
          <w:rFonts w:ascii="Book Antiqua" w:hAnsi="Book Antiqua"/>
          <w:bCs/>
          <w:i/>
          <w:color w:val="000000"/>
        </w:rPr>
        <w:t>Note by the Secretariat</w:t>
      </w:r>
    </w:p>
    <w:p w14:paraId="5FBE04DE" w14:textId="3AAD7E12" w:rsidR="00617598" w:rsidRDefault="00617598" w:rsidP="00F60FF6">
      <w:pPr>
        <w:snapToGrid w:val="0"/>
        <w:ind w:right="29"/>
        <w:jc w:val="center"/>
        <w:rPr>
          <w:rFonts w:ascii="Book Antiqua" w:hAnsi="Book Antiqua"/>
          <w:bCs/>
          <w:i/>
          <w:color w:val="000000"/>
        </w:rPr>
      </w:pPr>
    </w:p>
    <w:p w14:paraId="7D528313" w14:textId="77777777" w:rsidR="00617598" w:rsidRPr="003748FC" w:rsidRDefault="00617598" w:rsidP="00F60FF6">
      <w:pPr>
        <w:snapToGrid w:val="0"/>
        <w:ind w:right="29"/>
        <w:jc w:val="center"/>
        <w:rPr>
          <w:rFonts w:ascii="Book Antiqua" w:hAnsi="Book Antiqua"/>
          <w:bCs/>
          <w:i/>
          <w:color w:val="000000"/>
        </w:rPr>
      </w:pPr>
    </w:p>
    <w:sdt>
      <w:sdtPr>
        <w:rPr>
          <w:rFonts w:asciiTheme="minorHAnsi" w:eastAsiaTheme="minorEastAsia" w:hAnsiTheme="minorHAnsi" w:cstheme="minorBidi"/>
          <w:b w:val="0"/>
          <w:bCs w:val="0"/>
          <w:color w:val="auto"/>
          <w:sz w:val="22"/>
          <w:szCs w:val="22"/>
          <w:lang w:eastAsia="ko-KR"/>
        </w:rPr>
        <w:id w:val="879441653"/>
        <w:docPartObj>
          <w:docPartGallery w:val="Table of Contents"/>
          <w:docPartUnique/>
        </w:docPartObj>
      </w:sdtPr>
      <w:sdtEndPr>
        <w:rPr>
          <w:noProof/>
        </w:rPr>
      </w:sdtEndPr>
      <w:sdtContent>
        <w:p w14:paraId="26F52DAC" w14:textId="4412A44C" w:rsidR="0060182A" w:rsidRPr="0060182A" w:rsidRDefault="0060182A" w:rsidP="0060182A">
          <w:pPr>
            <w:pStyle w:val="TOCHeading"/>
            <w:jc w:val="center"/>
            <w:rPr>
              <w:rFonts w:ascii="Book Antiqua" w:hAnsi="Book Antiqua"/>
              <w:caps/>
              <w:color w:val="000000" w:themeColor="text1"/>
              <w:sz w:val="22"/>
              <w:szCs w:val="22"/>
            </w:rPr>
          </w:pPr>
          <w:r w:rsidRPr="00596903">
            <w:rPr>
              <w:rFonts w:ascii="Book Antiqua" w:hAnsi="Book Antiqua"/>
              <w:caps/>
              <w:color w:val="000000" w:themeColor="text1"/>
              <w:sz w:val="22"/>
              <w:szCs w:val="22"/>
            </w:rPr>
            <w:t>Contents</w:t>
          </w:r>
        </w:p>
        <w:p w14:paraId="00C799A4" w14:textId="7EF2C88E" w:rsidR="00B86285" w:rsidRDefault="0060182A">
          <w:pPr>
            <w:pStyle w:val="TOC1"/>
            <w:rPr>
              <w:rFonts w:asciiTheme="minorHAnsi" w:eastAsiaTheme="minorEastAsia" w:hAnsiTheme="minorHAnsi" w:cstheme="minorBidi"/>
              <w:caps w:val="0"/>
              <w:sz w:val="24"/>
              <w:szCs w:val="24"/>
              <w:lang w:eastAsia="zh-CN"/>
            </w:rPr>
          </w:pPr>
          <w:r>
            <w:rPr>
              <w:rFonts w:eastAsia="맑은 고딕" w:cs="Angsana New"/>
              <w:b/>
              <w:bCs/>
              <w:sz w:val="20"/>
              <w:szCs w:val="25"/>
            </w:rPr>
            <w:fldChar w:fldCharType="begin"/>
          </w:r>
          <w:r>
            <w:rPr>
              <w:b/>
              <w:bCs/>
            </w:rPr>
            <w:instrText xml:space="preserve"> TOC \o "1-3" \h \z \u </w:instrText>
          </w:r>
          <w:r>
            <w:rPr>
              <w:rFonts w:eastAsia="맑은 고딕" w:cs="Angsana New"/>
              <w:b/>
              <w:bCs/>
              <w:sz w:val="20"/>
              <w:szCs w:val="25"/>
            </w:rPr>
            <w:fldChar w:fldCharType="separate"/>
          </w:r>
          <w:hyperlink w:anchor="_Toc50649457" w:history="1">
            <w:r w:rsidR="00B86285" w:rsidRPr="00EF499C">
              <w:rPr>
                <w:rStyle w:val="Hyperlink"/>
              </w:rPr>
              <w:t>I.</w:t>
            </w:r>
            <w:r w:rsidR="00B86285">
              <w:rPr>
                <w:rFonts w:asciiTheme="minorHAnsi" w:eastAsiaTheme="minorEastAsia" w:hAnsiTheme="minorHAnsi" w:cstheme="minorBidi"/>
                <w:caps w:val="0"/>
                <w:sz w:val="24"/>
                <w:szCs w:val="24"/>
                <w:lang w:eastAsia="zh-CN"/>
              </w:rPr>
              <w:tab/>
            </w:r>
            <w:r w:rsidR="00B86285" w:rsidRPr="00EF499C">
              <w:rPr>
                <w:rStyle w:val="Hyperlink"/>
              </w:rPr>
              <w:t>INTRODUCTION</w:t>
            </w:r>
            <w:r w:rsidR="00B86285">
              <w:rPr>
                <w:webHidden/>
              </w:rPr>
              <w:tab/>
            </w:r>
            <w:r w:rsidR="00B86285">
              <w:rPr>
                <w:webHidden/>
              </w:rPr>
              <w:fldChar w:fldCharType="begin"/>
            </w:r>
            <w:r w:rsidR="00B86285">
              <w:rPr>
                <w:webHidden/>
              </w:rPr>
              <w:instrText xml:space="preserve"> PAGEREF _Toc50649457 \h </w:instrText>
            </w:r>
            <w:r w:rsidR="00B86285">
              <w:rPr>
                <w:webHidden/>
              </w:rPr>
            </w:r>
            <w:r w:rsidR="00B86285">
              <w:rPr>
                <w:webHidden/>
              </w:rPr>
              <w:fldChar w:fldCharType="separate"/>
            </w:r>
            <w:r w:rsidR="00EA0CEA">
              <w:rPr>
                <w:webHidden/>
              </w:rPr>
              <w:t>2</w:t>
            </w:r>
            <w:r w:rsidR="00B86285">
              <w:rPr>
                <w:webHidden/>
              </w:rPr>
              <w:fldChar w:fldCharType="end"/>
            </w:r>
          </w:hyperlink>
        </w:p>
        <w:p w14:paraId="045DE7F9" w14:textId="768C2E01" w:rsidR="00B86285" w:rsidRDefault="00EA0CEA">
          <w:pPr>
            <w:pStyle w:val="TOC1"/>
            <w:rPr>
              <w:rFonts w:asciiTheme="minorHAnsi" w:eastAsiaTheme="minorEastAsia" w:hAnsiTheme="minorHAnsi" w:cstheme="minorBidi"/>
              <w:caps w:val="0"/>
              <w:sz w:val="24"/>
              <w:szCs w:val="24"/>
              <w:lang w:eastAsia="zh-CN"/>
            </w:rPr>
          </w:pPr>
          <w:hyperlink w:anchor="_Toc50649458" w:history="1">
            <w:r w:rsidR="00B86285" w:rsidRPr="00EF499C">
              <w:rPr>
                <w:rStyle w:val="Hyperlink"/>
              </w:rPr>
              <w:t>II.</w:t>
            </w:r>
            <w:r w:rsidR="00B86285">
              <w:rPr>
                <w:rFonts w:asciiTheme="minorHAnsi" w:eastAsiaTheme="minorEastAsia" w:hAnsiTheme="minorHAnsi" w:cstheme="minorBidi"/>
                <w:caps w:val="0"/>
                <w:sz w:val="24"/>
                <w:szCs w:val="24"/>
                <w:lang w:eastAsia="zh-CN"/>
              </w:rPr>
              <w:tab/>
            </w:r>
            <w:r w:rsidR="00B86285" w:rsidRPr="00EF499C">
              <w:rPr>
                <w:rStyle w:val="Hyperlink"/>
              </w:rPr>
              <w:t>STRATEGIC PLAN 2021-2025</w:t>
            </w:r>
            <w:r w:rsidR="00B86285">
              <w:rPr>
                <w:webHidden/>
              </w:rPr>
              <w:tab/>
            </w:r>
            <w:r w:rsidR="00B86285">
              <w:rPr>
                <w:webHidden/>
              </w:rPr>
              <w:fldChar w:fldCharType="begin"/>
            </w:r>
            <w:r w:rsidR="00B86285">
              <w:rPr>
                <w:webHidden/>
              </w:rPr>
              <w:instrText xml:space="preserve"> PAGEREF _Toc50649458 \h </w:instrText>
            </w:r>
            <w:r w:rsidR="00B86285">
              <w:rPr>
                <w:webHidden/>
              </w:rPr>
            </w:r>
            <w:r w:rsidR="00B86285">
              <w:rPr>
                <w:webHidden/>
              </w:rPr>
              <w:fldChar w:fldCharType="separate"/>
            </w:r>
            <w:r>
              <w:rPr>
                <w:webHidden/>
              </w:rPr>
              <w:t>3</w:t>
            </w:r>
            <w:r w:rsidR="00B86285">
              <w:rPr>
                <w:webHidden/>
              </w:rPr>
              <w:fldChar w:fldCharType="end"/>
            </w:r>
          </w:hyperlink>
        </w:p>
        <w:p w14:paraId="2198E233" w14:textId="45AAA2F9" w:rsidR="00B86285" w:rsidRDefault="00EA0CEA">
          <w:pPr>
            <w:pStyle w:val="TOC1"/>
            <w:rPr>
              <w:rFonts w:asciiTheme="minorHAnsi" w:eastAsiaTheme="minorEastAsia" w:hAnsiTheme="minorHAnsi" w:cstheme="minorBidi"/>
              <w:caps w:val="0"/>
              <w:sz w:val="24"/>
              <w:szCs w:val="24"/>
              <w:lang w:eastAsia="zh-CN"/>
            </w:rPr>
          </w:pPr>
          <w:hyperlink w:anchor="_Toc50649459" w:history="1">
            <w:r w:rsidR="00B86285" w:rsidRPr="00EF499C">
              <w:rPr>
                <w:rStyle w:val="Hyperlink"/>
              </w:rPr>
              <w:t>III.</w:t>
            </w:r>
            <w:r w:rsidR="00B86285">
              <w:rPr>
                <w:rFonts w:asciiTheme="minorHAnsi" w:eastAsiaTheme="minorEastAsia" w:hAnsiTheme="minorHAnsi" w:cstheme="minorBidi"/>
                <w:caps w:val="0"/>
                <w:sz w:val="24"/>
                <w:szCs w:val="24"/>
                <w:lang w:eastAsia="zh-CN"/>
              </w:rPr>
              <w:tab/>
            </w:r>
            <w:r w:rsidR="00B86285" w:rsidRPr="00EF499C">
              <w:rPr>
                <w:rStyle w:val="Hyperlink"/>
              </w:rPr>
              <w:t>Issues FOR consideration</w:t>
            </w:r>
            <w:r w:rsidR="00B86285">
              <w:rPr>
                <w:webHidden/>
              </w:rPr>
              <w:tab/>
            </w:r>
            <w:r w:rsidR="00B86285">
              <w:rPr>
                <w:webHidden/>
              </w:rPr>
              <w:fldChar w:fldCharType="begin"/>
            </w:r>
            <w:r w:rsidR="00B86285">
              <w:rPr>
                <w:webHidden/>
              </w:rPr>
              <w:instrText xml:space="preserve"> PAGEREF _Toc50649459 \h </w:instrText>
            </w:r>
            <w:r w:rsidR="00B86285">
              <w:rPr>
                <w:webHidden/>
              </w:rPr>
            </w:r>
            <w:r w:rsidR="00B86285">
              <w:rPr>
                <w:webHidden/>
              </w:rPr>
              <w:fldChar w:fldCharType="separate"/>
            </w:r>
            <w:r>
              <w:rPr>
                <w:webHidden/>
              </w:rPr>
              <w:t>17</w:t>
            </w:r>
            <w:r w:rsidR="00B86285">
              <w:rPr>
                <w:webHidden/>
              </w:rPr>
              <w:fldChar w:fldCharType="end"/>
            </w:r>
          </w:hyperlink>
        </w:p>
        <w:p w14:paraId="26E5F38E" w14:textId="012A79FC" w:rsidR="0060182A" w:rsidRDefault="0060182A">
          <w:r>
            <w:rPr>
              <w:b/>
              <w:bCs/>
              <w:noProof/>
            </w:rPr>
            <w:fldChar w:fldCharType="end"/>
          </w:r>
        </w:p>
      </w:sdtContent>
    </w:sdt>
    <w:p w14:paraId="05F888DD" w14:textId="1E60F63F" w:rsidR="0058034A" w:rsidRDefault="0058034A" w:rsidP="0058034A">
      <w:pPr>
        <w:rPr>
          <w:rFonts w:ascii="Book Antiqua" w:hAnsi="Book Antiqua"/>
          <w:color w:val="000000"/>
        </w:rPr>
      </w:pPr>
    </w:p>
    <w:p w14:paraId="08D3A3A2" w14:textId="47298972" w:rsidR="00765840" w:rsidRDefault="00765840" w:rsidP="0058034A">
      <w:pPr>
        <w:rPr>
          <w:rFonts w:ascii="Book Antiqua" w:hAnsi="Book Antiqua"/>
          <w:color w:val="000000"/>
        </w:rPr>
      </w:pPr>
    </w:p>
    <w:p w14:paraId="1F8AAF76" w14:textId="1168B7E9" w:rsidR="00765840" w:rsidRDefault="00A35B4A" w:rsidP="0058034A">
      <w:pPr>
        <w:rPr>
          <w:rFonts w:ascii="Book Antiqua" w:hAnsi="Book Antiqua"/>
          <w:color w:val="000000"/>
        </w:rPr>
      </w:pPr>
      <w:r>
        <w:rPr>
          <w:rFonts w:ascii="Book Antiqua" w:hAnsi="Book Antiqua"/>
          <w:color w:val="000000"/>
        </w:rPr>
        <w:t>Annex:</w:t>
      </w:r>
      <w:r w:rsidR="005221E0">
        <w:rPr>
          <w:rFonts w:ascii="Book Antiqua" w:hAnsi="Book Antiqua"/>
          <w:color w:val="000000"/>
        </w:rPr>
        <w:t xml:space="preserve"> </w:t>
      </w:r>
      <w:r w:rsidR="005221E0" w:rsidRPr="009726EA">
        <w:rPr>
          <w:rFonts w:ascii="Book Antiqua" w:eastAsia="SimSun" w:hAnsi="Book Antiqua" w:cs="Times New Roman"/>
          <w:lang w:eastAsia="zh-CN"/>
        </w:rPr>
        <w:t>Background for the Strategic Plan 2021-2025 (NEASPEC/NFP-2/1)</w:t>
      </w:r>
    </w:p>
    <w:p w14:paraId="06174025" w14:textId="77777777" w:rsidR="005221E0" w:rsidRDefault="005221E0" w:rsidP="0058034A">
      <w:pPr>
        <w:rPr>
          <w:rFonts w:ascii="Book Antiqua" w:hAnsi="Book Antiqua"/>
          <w:color w:val="000000"/>
        </w:rPr>
      </w:pPr>
    </w:p>
    <w:p w14:paraId="6D3475F0" w14:textId="77777777" w:rsidR="0058034A" w:rsidRDefault="0058034A" w:rsidP="0058034A">
      <w:pPr>
        <w:rPr>
          <w:rFonts w:ascii="Book Antiqua" w:hAnsi="Book Antiqua"/>
          <w:color w:val="000000"/>
        </w:rPr>
      </w:pPr>
    </w:p>
    <w:p w14:paraId="1F8C9298" w14:textId="505ED3A8" w:rsidR="00733858" w:rsidRPr="00F553F9" w:rsidRDefault="009728C4" w:rsidP="007E4706">
      <w:pPr>
        <w:pStyle w:val="Heading1"/>
        <w:numPr>
          <w:ilvl w:val="0"/>
          <w:numId w:val="1"/>
        </w:numPr>
        <w:jc w:val="center"/>
        <w:rPr>
          <w:rFonts w:ascii="Book Antiqua" w:hAnsi="Book Antiqua"/>
          <w:color w:val="auto"/>
          <w:sz w:val="24"/>
          <w:szCs w:val="24"/>
        </w:rPr>
      </w:pPr>
      <w:bookmarkStart w:id="0" w:name="_Toc50649457"/>
      <w:r w:rsidRPr="00F553F9">
        <w:rPr>
          <w:rFonts w:ascii="Book Antiqua" w:hAnsi="Book Antiqua"/>
          <w:color w:val="auto"/>
          <w:sz w:val="24"/>
          <w:szCs w:val="24"/>
        </w:rPr>
        <w:lastRenderedPageBreak/>
        <w:t>INTRODUCTION</w:t>
      </w:r>
      <w:bookmarkEnd w:id="0"/>
    </w:p>
    <w:p w14:paraId="4D384669" w14:textId="77777777" w:rsidR="00C67FAD" w:rsidRDefault="00C67FAD" w:rsidP="00EC2B08">
      <w:pPr>
        <w:pStyle w:val="ListParagraph"/>
        <w:spacing w:after="120" w:line="340" w:lineRule="atLeast"/>
        <w:ind w:left="0"/>
        <w:contextualSpacing w:val="0"/>
        <w:jc w:val="both"/>
        <w:rPr>
          <w:rFonts w:ascii="Book Antiqua" w:eastAsia="SimSun" w:hAnsi="Book Antiqua" w:cs="Times New Roman"/>
        </w:rPr>
      </w:pPr>
    </w:p>
    <w:p w14:paraId="055D1EA8" w14:textId="3E522F28" w:rsidR="005E62AE" w:rsidRDefault="005F4B52" w:rsidP="007E4706">
      <w:pPr>
        <w:pStyle w:val="ListParagraph"/>
        <w:numPr>
          <w:ilvl w:val="0"/>
          <w:numId w:val="3"/>
        </w:numPr>
        <w:spacing w:after="120" w:line="340" w:lineRule="atLeast"/>
        <w:ind w:left="0" w:firstLine="0"/>
        <w:contextualSpacing w:val="0"/>
        <w:jc w:val="both"/>
        <w:rPr>
          <w:rFonts w:ascii="Book Antiqua" w:eastAsia="SimSun" w:hAnsi="Book Antiqua" w:cs="Times New Roman"/>
        </w:rPr>
      </w:pPr>
      <w:r w:rsidRPr="00EE30CF">
        <w:rPr>
          <w:rFonts w:ascii="Book Antiqua" w:eastAsia="SimSun" w:hAnsi="Book Antiqua" w:cs="Times New Roman"/>
        </w:rPr>
        <w:t>The NEASPEC</w:t>
      </w:r>
      <w:r w:rsidR="00ED2795" w:rsidRPr="00EE30CF">
        <w:rPr>
          <w:rFonts w:ascii="Book Antiqua" w:eastAsia="SimSun" w:hAnsi="Book Antiqua" w:cs="Times New Roman"/>
        </w:rPr>
        <w:t xml:space="preserve"> </w:t>
      </w:r>
      <w:r w:rsidRPr="00EE30CF">
        <w:rPr>
          <w:rFonts w:ascii="Book Antiqua" w:eastAsia="SimSun" w:hAnsi="Book Antiqua" w:cs="Times New Roman"/>
        </w:rPr>
        <w:t>S</w:t>
      </w:r>
      <w:r w:rsidR="00ED2795" w:rsidRPr="00EE30CF">
        <w:rPr>
          <w:rFonts w:ascii="Book Antiqua" w:eastAsia="SimSun" w:hAnsi="Book Antiqua" w:cs="Times New Roman"/>
        </w:rPr>
        <w:t>trateg</w:t>
      </w:r>
      <w:r w:rsidRPr="00540B53">
        <w:rPr>
          <w:rFonts w:ascii="Book Antiqua" w:eastAsia="SimSun" w:hAnsi="Book Antiqua" w:cs="Times New Roman"/>
        </w:rPr>
        <w:t xml:space="preserve">ic Plan 2016-2020 was adopted </w:t>
      </w:r>
      <w:r w:rsidR="0050190E">
        <w:rPr>
          <w:rFonts w:ascii="Book Antiqua" w:eastAsia="SimSun" w:hAnsi="Book Antiqua" w:cs="Times New Roman"/>
        </w:rPr>
        <w:t>by</w:t>
      </w:r>
      <w:r w:rsidRPr="00540B53">
        <w:rPr>
          <w:rFonts w:ascii="Book Antiqua" w:eastAsia="SimSun" w:hAnsi="Book Antiqua" w:cs="Times New Roman"/>
        </w:rPr>
        <w:t xml:space="preserve"> the 20</w:t>
      </w:r>
      <w:r w:rsidRPr="00540B53">
        <w:rPr>
          <w:rFonts w:ascii="Book Antiqua" w:eastAsia="SimSun" w:hAnsi="Book Antiqua" w:cs="Times New Roman"/>
          <w:vertAlign w:val="superscript"/>
        </w:rPr>
        <w:t>th</w:t>
      </w:r>
      <w:r w:rsidRPr="00540B53">
        <w:rPr>
          <w:rFonts w:ascii="Book Antiqua" w:eastAsia="SimSun" w:hAnsi="Book Antiqua" w:cs="Times New Roman"/>
        </w:rPr>
        <w:t xml:space="preserve"> Senior Officials Meeting (SOM-20) in 2015</w:t>
      </w:r>
      <w:r w:rsidR="00C16C61" w:rsidRPr="00540B53">
        <w:rPr>
          <w:rFonts w:ascii="Book Antiqua" w:eastAsia="SimSun" w:hAnsi="Book Antiqua" w:cs="Times New Roman"/>
        </w:rPr>
        <w:t xml:space="preserve"> through consultations at the SOM-19</w:t>
      </w:r>
      <w:r w:rsidR="008C3544" w:rsidRPr="00540B53">
        <w:rPr>
          <w:rFonts w:ascii="Book Antiqua" w:eastAsia="SimSun" w:hAnsi="Book Antiqua" w:cs="Times New Roman"/>
        </w:rPr>
        <w:t xml:space="preserve"> in 2014</w:t>
      </w:r>
      <w:r w:rsidR="00C16C61" w:rsidRPr="00540B53">
        <w:rPr>
          <w:rFonts w:ascii="Book Antiqua" w:eastAsia="SimSun" w:hAnsi="Book Antiqua" w:cs="Times New Roman"/>
        </w:rPr>
        <w:t xml:space="preserve"> and a meeting of National Focal Points of NEASPEC</w:t>
      </w:r>
      <w:r w:rsidR="008C3544" w:rsidRPr="00540B53">
        <w:rPr>
          <w:rFonts w:ascii="Book Antiqua" w:eastAsia="SimSun" w:hAnsi="Book Antiqua" w:cs="Times New Roman"/>
        </w:rPr>
        <w:t xml:space="preserve"> in </w:t>
      </w:r>
      <w:r w:rsidR="00D172DC" w:rsidRPr="00540B53">
        <w:rPr>
          <w:rFonts w:ascii="Book Antiqua" w:eastAsia="SimSun" w:hAnsi="Book Antiqua" w:cs="Times New Roman"/>
        </w:rPr>
        <w:t>2015</w:t>
      </w:r>
      <w:r w:rsidR="00F20602" w:rsidRPr="00540B53">
        <w:rPr>
          <w:rFonts w:ascii="Book Antiqua" w:eastAsia="SimSun" w:hAnsi="Book Antiqua" w:cs="Times New Roman"/>
        </w:rPr>
        <w:t>.</w:t>
      </w:r>
      <w:r w:rsidR="00C379D0" w:rsidRPr="00540B53">
        <w:rPr>
          <w:rFonts w:ascii="Book Antiqua" w:eastAsia="SimSun" w:hAnsi="Book Antiqua" w:cs="Times New Roman"/>
        </w:rPr>
        <w:t xml:space="preserve"> </w:t>
      </w:r>
      <w:r w:rsidR="00E108C6" w:rsidRPr="00F20602">
        <w:rPr>
          <w:rFonts w:ascii="Book Antiqua" w:eastAsia="SimSun" w:hAnsi="Book Antiqua" w:cs="Times New Roman"/>
        </w:rPr>
        <w:t xml:space="preserve">The NEASPEC Strategic Plan 2016-2020 </w:t>
      </w:r>
      <w:r w:rsidR="00B87EB0" w:rsidRPr="00F20602">
        <w:rPr>
          <w:rFonts w:ascii="Book Antiqua" w:eastAsia="SimSun" w:hAnsi="Book Antiqua" w:cs="Times New Roman"/>
        </w:rPr>
        <w:t>sets</w:t>
      </w:r>
      <w:r w:rsidR="00516384" w:rsidRPr="00F20602">
        <w:rPr>
          <w:rFonts w:ascii="Book Antiqua" w:eastAsia="SimSun" w:hAnsi="Book Antiqua" w:cs="Times New Roman"/>
        </w:rPr>
        <w:t xml:space="preserve"> </w:t>
      </w:r>
      <w:r w:rsidR="00214172">
        <w:rPr>
          <w:rFonts w:ascii="Book Antiqua" w:eastAsia="SimSun" w:hAnsi="Book Antiqua" w:cs="Times New Roman"/>
        </w:rPr>
        <w:t xml:space="preserve">the </w:t>
      </w:r>
      <w:r w:rsidR="005D42CB" w:rsidRPr="00F20602">
        <w:rPr>
          <w:rFonts w:ascii="Book Antiqua" w:eastAsia="SimSun" w:hAnsi="Book Antiqua" w:cs="Times New Roman"/>
        </w:rPr>
        <w:t xml:space="preserve">goals, overall </w:t>
      </w:r>
      <w:r w:rsidR="00516384" w:rsidRPr="00F20602">
        <w:rPr>
          <w:rFonts w:ascii="Book Antiqua" w:eastAsia="SimSun" w:hAnsi="Book Antiqua" w:cs="Times New Roman"/>
        </w:rPr>
        <w:t xml:space="preserve">approaches </w:t>
      </w:r>
      <w:r w:rsidR="005D42CB" w:rsidRPr="00F20602">
        <w:rPr>
          <w:rFonts w:ascii="Book Antiqua" w:eastAsia="SimSun" w:hAnsi="Book Antiqua" w:cs="Times New Roman"/>
        </w:rPr>
        <w:t xml:space="preserve">and specific </w:t>
      </w:r>
      <w:r w:rsidR="006D6B88">
        <w:rPr>
          <w:rFonts w:ascii="Book Antiqua" w:eastAsia="SimSun" w:hAnsi="Book Antiqua" w:cs="Times New Roman"/>
        </w:rPr>
        <w:t xml:space="preserve">objectives and </w:t>
      </w:r>
      <w:r w:rsidR="00280D7A" w:rsidRPr="00D8075D">
        <w:rPr>
          <w:rFonts w:ascii="Book Antiqua" w:eastAsia="SimSun" w:hAnsi="Book Antiqua" w:cs="Times New Roman"/>
        </w:rPr>
        <w:t xml:space="preserve">activities </w:t>
      </w:r>
      <w:r w:rsidR="00516384" w:rsidRPr="00D8075D">
        <w:rPr>
          <w:rFonts w:ascii="Book Antiqua" w:eastAsia="SimSun" w:hAnsi="Book Antiqua" w:cs="Times New Roman"/>
        </w:rPr>
        <w:t>of NEASPEC</w:t>
      </w:r>
      <w:r w:rsidR="00B87EB0" w:rsidRPr="001F3A8F">
        <w:rPr>
          <w:rFonts w:ascii="Book Antiqua" w:eastAsia="SimSun" w:hAnsi="Book Antiqua" w:cs="Times New Roman"/>
        </w:rPr>
        <w:t>’s work</w:t>
      </w:r>
      <w:r w:rsidR="00516384" w:rsidRPr="001F3A8F">
        <w:rPr>
          <w:rFonts w:ascii="Book Antiqua" w:eastAsia="SimSun" w:hAnsi="Book Antiqua" w:cs="Times New Roman"/>
        </w:rPr>
        <w:t xml:space="preserve"> </w:t>
      </w:r>
      <w:r w:rsidR="00B87EB0" w:rsidRPr="001F3A8F">
        <w:rPr>
          <w:rFonts w:ascii="Book Antiqua" w:eastAsia="SimSun" w:hAnsi="Book Antiqua" w:cs="Times New Roman"/>
        </w:rPr>
        <w:t>in five prog</w:t>
      </w:r>
      <w:r w:rsidR="00B87EB0" w:rsidRPr="005E38DD">
        <w:rPr>
          <w:rFonts w:ascii="Book Antiqua" w:eastAsia="SimSun" w:hAnsi="Book Antiqua" w:cs="Times New Roman"/>
        </w:rPr>
        <w:t xml:space="preserve">rammatic areas identified by the member States, </w:t>
      </w:r>
      <w:r w:rsidR="006D6B88">
        <w:rPr>
          <w:rFonts w:ascii="Book Antiqua" w:eastAsia="SimSun" w:hAnsi="Book Antiqua" w:cs="Times New Roman"/>
        </w:rPr>
        <w:t>namely:</w:t>
      </w:r>
      <w:r w:rsidR="00B87EB0" w:rsidRPr="005E38DD">
        <w:rPr>
          <w:rFonts w:ascii="Book Antiqua" w:eastAsia="SimSun" w:hAnsi="Book Antiqua" w:cs="Times New Roman"/>
          <w:lang w:eastAsia="zh-CN"/>
        </w:rPr>
        <w:t xml:space="preserve"> transboundary air pollution, biodiversity and nature conservation, marine protected areas, low carbon cities, and desertification and land degradation. </w:t>
      </w:r>
    </w:p>
    <w:p w14:paraId="5394B44A" w14:textId="737570DD" w:rsidR="00D56F4F" w:rsidRPr="00EC2B08" w:rsidRDefault="005E62AE" w:rsidP="00EC2B08">
      <w:pPr>
        <w:pStyle w:val="ListParagraph"/>
        <w:numPr>
          <w:ilvl w:val="0"/>
          <w:numId w:val="3"/>
        </w:numPr>
        <w:spacing w:after="120" w:line="340" w:lineRule="atLeast"/>
        <w:ind w:left="0" w:firstLine="0"/>
        <w:contextualSpacing w:val="0"/>
        <w:jc w:val="both"/>
        <w:rPr>
          <w:rFonts w:ascii="Book Antiqua" w:eastAsia="SimSun" w:hAnsi="Book Antiqua" w:cs="Times New Roman"/>
        </w:rPr>
      </w:pPr>
      <w:r w:rsidRPr="005E62AE">
        <w:rPr>
          <w:rFonts w:ascii="Book Antiqua" w:eastAsia="SimSun" w:hAnsi="Book Antiqua" w:cs="Times New Roman"/>
        </w:rPr>
        <w:t xml:space="preserve">The implementation of the </w:t>
      </w:r>
      <w:r w:rsidR="00C67FAD">
        <w:rPr>
          <w:rFonts w:ascii="Book Antiqua" w:eastAsia="SimSun" w:hAnsi="Book Antiqua" w:cs="Times New Roman"/>
        </w:rPr>
        <w:t>S</w:t>
      </w:r>
      <w:r w:rsidRPr="005E62AE">
        <w:rPr>
          <w:rFonts w:ascii="Book Antiqua" w:eastAsia="SimSun" w:hAnsi="Book Antiqua" w:cs="Times New Roman"/>
        </w:rPr>
        <w:t xml:space="preserve">trategic </w:t>
      </w:r>
      <w:r w:rsidR="00C67FAD">
        <w:rPr>
          <w:rFonts w:ascii="Book Antiqua" w:eastAsia="SimSun" w:hAnsi="Book Antiqua" w:cs="Times New Roman"/>
        </w:rPr>
        <w:t>P</w:t>
      </w:r>
      <w:r w:rsidRPr="005E62AE">
        <w:rPr>
          <w:rFonts w:ascii="Book Antiqua" w:eastAsia="SimSun" w:hAnsi="Book Antiqua" w:cs="Times New Roman"/>
        </w:rPr>
        <w:t xml:space="preserve">lan 2016-2020 has resulted in strengthening and institutionalizing various cooperation platforms launched so far, namely the North-East Asian Marine Protected Areas Network (NEAMPAN), the North-East Asia Low Carbon City Platform (NEA-LCCP), and the North-East Asia Clean Air Partnership (NEACAP). In addition, the work of NEASPEC on </w:t>
      </w:r>
      <w:proofErr w:type="spellStart"/>
      <w:r w:rsidRPr="005E62AE">
        <w:rPr>
          <w:rFonts w:ascii="Book Antiqua" w:eastAsia="SimSun" w:hAnsi="Book Antiqua" w:cs="Times New Roman"/>
        </w:rPr>
        <w:t>subregional</w:t>
      </w:r>
      <w:proofErr w:type="spellEnd"/>
      <w:r w:rsidRPr="005E62AE">
        <w:rPr>
          <w:rFonts w:ascii="Book Antiqua" w:eastAsia="SimSun" w:hAnsi="Book Antiqua" w:cs="Times New Roman"/>
        </w:rPr>
        <w:t xml:space="preserve"> flagship species and their habitats have strengthened scientific cooperation that could support transboundary coordination among member States.</w:t>
      </w:r>
      <w:r w:rsidR="00D56F4F" w:rsidRPr="00EC2B08">
        <w:rPr>
          <w:rFonts w:ascii="Book Antiqua" w:eastAsia="SimSun" w:hAnsi="Book Antiqua" w:cs="Times New Roman"/>
        </w:rPr>
        <w:t xml:space="preserve"> </w:t>
      </w:r>
    </w:p>
    <w:p w14:paraId="34D3525B" w14:textId="11A69D0D" w:rsidR="001F11D2" w:rsidRPr="009726EA" w:rsidRDefault="00157D4A" w:rsidP="00EC2B08">
      <w:pPr>
        <w:pStyle w:val="ListParagraph"/>
        <w:numPr>
          <w:ilvl w:val="0"/>
          <w:numId w:val="3"/>
        </w:numPr>
        <w:spacing w:after="120" w:line="340" w:lineRule="atLeast"/>
        <w:ind w:left="0" w:firstLine="0"/>
        <w:contextualSpacing w:val="0"/>
        <w:jc w:val="both"/>
        <w:rPr>
          <w:rFonts w:ascii="Book Antiqua" w:eastAsia="SimSun" w:hAnsi="Book Antiqua" w:cs="Times New Roman"/>
        </w:rPr>
      </w:pPr>
      <w:r>
        <w:rPr>
          <w:rFonts w:ascii="Book Antiqua" w:eastAsia="SimSun" w:hAnsi="Book Antiqua" w:cs="Times New Roman"/>
        </w:rPr>
        <w:t>To</w:t>
      </w:r>
      <w:r w:rsidR="00280D7A" w:rsidRPr="009726EA">
        <w:rPr>
          <w:rFonts w:ascii="Book Antiqua" w:eastAsia="SimSun" w:hAnsi="Book Antiqua" w:cs="Times New Roman"/>
          <w:lang w:eastAsia="zh-CN"/>
        </w:rPr>
        <w:t xml:space="preserve"> assess</w:t>
      </w:r>
      <w:r w:rsidR="008671A0" w:rsidRPr="009726EA">
        <w:rPr>
          <w:rFonts w:ascii="Book Antiqua" w:eastAsia="SimSun" w:hAnsi="Book Antiqua" w:cs="Times New Roman"/>
          <w:lang w:eastAsia="zh-CN"/>
        </w:rPr>
        <w:t xml:space="preserve"> </w:t>
      </w:r>
      <w:r w:rsidR="00280D7A" w:rsidRPr="009726EA">
        <w:rPr>
          <w:rFonts w:ascii="Book Antiqua" w:eastAsia="SimSun" w:hAnsi="Book Antiqua" w:cs="Times New Roman"/>
          <w:lang w:eastAsia="zh-CN"/>
        </w:rPr>
        <w:t xml:space="preserve">the </w:t>
      </w:r>
      <w:r>
        <w:rPr>
          <w:rFonts w:ascii="Book Antiqua" w:eastAsia="SimSun" w:hAnsi="Book Antiqua" w:cs="Times New Roman"/>
          <w:lang w:eastAsia="zh-CN"/>
        </w:rPr>
        <w:t>implementation of</w:t>
      </w:r>
      <w:r w:rsidR="00214172" w:rsidRPr="009726EA">
        <w:rPr>
          <w:rFonts w:ascii="Book Antiqua" w:eastAsia="SimSun" w:hAnsi="Book Antiqua" w:cs="Times New Roman"/>
          <w:lang w:eastAsia="zh-CN"/>
        </w:rPr>
        <w:t xml:space="preserve"> the </w:t>
      </w:r>
      <w:bookmarkStart w:id="1" w:name="_Hlk49946832"/>
      <w:r w:rsidR="008A4E16">
        <w:rPr>
          <w:rFonts w:ascii="Book Antiqua" w:eastAsia="SimSun" w:hAnsi="Book Antiqua" w:cs="Times New Roman"/>
          <w:lang w:eastAsia="zh-CN"/>
        </w:rPr>
        <w:t xml:space="preserve">current </w:t>
      </w:r>
      <w:r w:rsidR="00765840">
        <w:rPr>
          <w:rFonts w:ascii="Book Antiqua" w:eastAsia="SimSun" w:hAnsi="Book Antiqua" w:cs="Times New Roman"/>
          <w:lang w:eastAsia="zh-CN"/>
        </w:rPr>
        <w:t>S</w:t>
      </w:r>
      <w:r w:rsidR="00214172" w:rsidRPr="009726EA">
        <w:rPr>
          <w:rFonts w:ascii="Book Antiqua" w:eastAsia="SimSun" w:hAnsi="Book Antiqua" w:cs="Times New Roman"/>
          <w:lang w:eastAsia="zh-CN"/>
        </w:rPr>
        <w:t xml:space="preserve">trategic </w:t>
      </w:r>
      <w:r w:rsidR="00765840">
        <w:rPr>
          <w:rFonts w:ascii="Book Antiqua" w:eastAsia="SimSun" w:hAnsi="Book Antiqua" w:cs="Times New Roman"/>
          <w:lang w:eastAsia="zh-CN"/>
        </w:rPr>
        <w:t>P</w:t>
      </w:r>
      <w:r w:rsidR="00214172" w:rsidRPr="009726EA">
        <w:rPr>
          <w:rFonts w:ascii="Book Antiqua" w:eastAsia="SimSun" w:hAnsi="Book Antiqua" w:cs="Times New Roman"/>
          <w:lang w:eastAsia="zh-CN"/>
        </w:rPr>
        <w:t>lan</w:t>
      </w:r>
      <w:r w:rsidR="00C064F3" w:rsidRPr="009726EA">
        <w:rPr>
          <w:rFonts w:ascii="Book Antiqua" w:eastAsia="SimSun" w:hAnsi="Book Antiqua" w:cs="Times New Roman"/>
          <w:lang w:eastAsia="zh-CN"/>
        </w:rPr>
        <w:t xml:space="preserve"> </w:t>
      </w:r>
      <w:bookmarkEnd w:id="1"/>
      <w:r w:rsidR="00C064F3" w:rsidRPr="009726EA">
        <w:rPr>
          <w:rFonts w:ascii="Book Antiqua" w:eastAsia="SimSun" w:hAnsi="Book Antiqua" w:cs="Times New Roman"/>
          <w:lang w:eastAsia="zh-CN"/>
        </w:rPr>
        <w:t xml:space="preserve">and </w:t>
      </w:r>
      <w:r>
        <w:rPr>
          <w:rFonts w:ascii="Book Antiqua" w:eastAsia="SimSun" w:hAnsi="Book Antiqua" w:cs="Times New Roman"/>
          <w:lang w:eastAsia="zh-CN"/>
        </w:rPr>
        <w:t xml:space="preserve">develop </w:t>
      </w:r>
      <w:r w:rsidR="00765840">
        <w:rPr>
          <w:rFonts w:ascii="Book Antiqua" w:eastAsia="SimSun" w:hAnsi="Book Antiqua" w:cs="Times New Roman"/>
          <w:lang w:eastAsia="zh-CN"/>
        </w:rPr>
        <w:t>the next P</w:t>
      </w:r>
      <w:r w:rsidR="00765840" w:rsidRPr="009C3D67">
        <w:rPr>
          <w:rFonts w:ascii="Book Antiqua" w:eastAsia="SimSun" w:hAnsi="Book Antiqua" w:cs="Times New Roman"/>
          <w:lang w:eastAsia="zh-CN"/>
        </w:rPr>
        <w:t xml:space="preserve">lan, </w:t>
      </w:r>
      <w:r>
        <w:rPr>
          <w:rFonts w:ascii="Book Antiqua" w:eastAsia="SimSun" w:hAnsi="Book Antiqua" w:cs="Times New Roman"/>
          <w:lang w:eastAsia="zh-CN"/>
        </w:rPr>
        <w:t>the Secretariat prepared a preliminary evaluation for the consideration of the SOM-23</w:t>
      </w:r>
      <w:r w:rsidR="008671A0" w:rsidRPr="009726EA">
        <w:rPr>
          <w:rFonts w:ascii="Book Antiqua" w:eastAsia="SimSun" w:hAnsi="Book Antiqua" w:cs="Times New Roman"/>
          <w:lang w:eastAsia="zh-CN"/>
        </w:rPr>
        <w:t xml:space="preserve">, </w:t>
      </w:r>
      <w:r>
        <w:rPr>
          <w:rFonts w:ascii="Book Antiqua" w:eastAsia="SimSun" w:hAnsi="Book Antiqua" w:cs="Times New Roman"/>
          <w:lang w:eastAsia="zh-CN"/>
        </w:rPr>
        <w:t xml:space="preserve">and subsequently conducted (a) </w:t>
      </w:r>
      <w:r w:rsidR="00765840">
        <w:rPr>
          <w:rFonts w:ascii="Book Antiqua" w:eastAsia="SimSun" w:hAnsi="Book Antiqua" w:cs="Times New Roman"/>
          <w:lang w:eastAsia="zh-CN"/>
        </w:rPr>
        <w:t xml:space="preserve">a </w:t>
      </w:r>
      <w:r w:rsidR="008671A0" w:rsidRPr="009726EA">
        <w:rPr>
          <w:rFonts w:ascii="Book Antiqua" w:eastAsia="SimSun" w:hAnsi="Book Antiqua" w:cs="Times New Roman"/>
          <w:lang w:eastAsia="zh-CN"/>
        </w:rPr>
        <w:t>stakeholder survey receiving feedbacks from</w:t>
      </w:r>
      <w:r w:rsidR="00765840">
        <w:rPr>
          <w:rFonts w:ascii="Book Antiqua" w:eastAsia="SimSun" w:hAnsi="Book Antiqua" w:cs="Times New Roman"/>
          <w:lang w:eastAsia="zh-CN"/>
        </w:rPr>
        <w:t xml:space="preserve"> over 160</w:t>
      </w:r>
      <w:r w:rsidR="009726EA" w:rsidRPr="009726EA">
        <w:rPr>
          <w:rFonts w:ascii="Book Antiqua" w:eastAsia="SimSun" w:hAnsi="Book Antiqua" w:cs="Times New Roman"/>
          <w:lang w:eastAsia="zh-CN"/>
        </w:rPr>
        <w:t xml:space="preserve"> government officials and experts</w:t>
      </w:r>
      <w:r w:rsidR="00BA28CB">
        <w:rPr>
          <w:rFonts w:ascii="Book Antiqua" w:eastAsia="SimSun" w:hAnsi="Book Antiqua" w:cs="Times New Roman"/>
          <w:lang w:eastAsia="zh-CN"/>
        </w:rPr>
        <w:t>,</w:t>
      </w:r>
      <w:r w:rsidR="009726EA" w:rsidRPr="009726EA">
        <w:rPr>
          <w:rFonts w:ascii="Book Antiqua" w:eastAsia="SimSun" w:hAnsi="Book Antiqua" w:cs="Times New Roman"/>
          <w:lang w:eastAsia="zh-CN"/>
        </w:rPr>
        <w:t xml:space="preserve"> and </w:t>
      </w:r>
      <w:r>
        <w:rPr>
          <w:rFonts w:ascii="Book Antiqua" w:eastAsia="SimSun" w:hAnsi="Book Antiqua" w:cs="Times New Roman"/>
          <w:lang w:eastAsia="zh-CN"/>
        </w:rPr>
        <w:t xml:space="preserve">(b) </w:t>
      </w:r>
      <w:r w:rsidR="00765840">
        <w:rPr>
          <w:rFonts w:ascii="Book Antiqua" w:eastAsia="SimSun" w:hAnsi="Book Antiqua" w:cs="Times New Roman"/>
          <w:lang w:eastAsia="zh-CN"/>
        </w:rPr>
        <w:t xml:space="preserve">an </w:t>
      </w:r>
      <w:r w:rsidR="009726EA" w:rsidRPr="009726EA">
        <w:rPr>
          <w:rFonts w:ascii="Book Antiqua" w:eastAsia="SimSun" w:hAnsi="Book Antiqua" w:cs="Times New Roman"/>
          <w:lang w:eastAsia="zh-CN"/>
        </w:rPr>
        <w:t>independent evaluation</w:t>
      </w:r>
      <w:r w:rsidR="00765840">
        <w:rPr>
          <w:rFonts w:ascii="Book Antiqua" w:eastAsia="SimSun" w:hAnsi="Book Antiqua" w:cs="Times New Roman"/>
          <w:lang w:eastAsia="zh-CN"/>
        </w:rPr>
        <w:t xml:space="preserve"> by reviewing NEASPEC documents, participating in meetings</w:t>
      </w:r>
      <w:r w:rsidR="00EB4E96">
        <w:rPr>
          <w:rFonts w:ascii="Book Antiqua" w:eastAsia="SimSun" w:hAnsi="Book Antiqua" w:cs="Times New Roman"/>
          <w:lang w:eastAsia="zh-CN"/>
        </w:rPr>
        <w:t>,</w:t>
      </w:r>
      <w:r w:rsidR="00765840">
        <w:rPr>
          <w:rFonts w:ascii="Book Antiqua" w:eastAsia="SimSun" w:hAnsi="Book Antiqua" w:cs="Times New Roman"/>
          <w:lang w:eastAsia="zh-CN"/>
        </w:rPr>
        <w:t xml:space="preserve"> and interviewing about 40 representatives from member governments, partners</w:t>
      </w:r>
      <w:r w:rsidR="00EB4E96">
        <w:rPr>
          <w:rFonts w:ascii="Book Antiqua" w:eastAsia="SimSun" w:hAnsi="Book Antiqua" w:cs="Times New Roman"/>
          <w:lang w:eastAsia="zh-CN"/>
        </w:rPr>
        <w:t>, ESCAP management</w:t>
      </w:r>
      <w:r w:rsidR="00765840">
        <w:rPr>
          <w:rFonts w:ascii="Book Antiqua" w:eastAsia="SimSun" w:hAnsi="Book Antiqua" w:cs="Times New Roman"/>
          <w:lang w:eastAsia="zh-CN"/>
        </w:rPr>
        <w:t xml:space="preserve"> and the Secretariat</w:t>
      </w:r>
      <w:r w:rsidR="009726EA" w:rsidRPr="009726EA">
        <w:rPr>
          <w:rFonts w:ascii="Book Antiqua" w:eastAsia="SimSun" w:hAnsi="Book Antiqua" w:cs="Times New Roman"/>
          <w:lang w:eastAsia="zh-CN"/>
        </w:rPr>
        <w:t xml:space="preserve">. The outcomes of the three evaluations were </w:t>
      </w:r>
      <w:r>
        <w:rPr>
          <w:rFonts w:ascii="Book Antiqua" w:eastAsia="SimSun" w:hAnsi="Book Antiqua" w:cs="Times New Roman"/>
          <w:lang w:eastAsia="zh-CN"/>
        </w:rPr>
        <w:t xml:space="preserve">summarized </w:t>
      </w:r>
      <w:r w:rsidR="009726EA" w:rsidRPr="009726EA">
        <w:rPr>
          <w:rFonts w:ascii="Book Antiqua" w:eastAsia="SimSun" w:hAnsi="Book Antiqua" w:cs="Times New Roman"/>
          <w:lang w:eastAsia="zh-CN"/>
        </w:rPr>
        <w:t xml:space="preserve">in the </w:t>
      </w:r>
      <w:r w:rsidR="009726EA" w:rsidRPr="00106209">
        <w:rPr>
          <w:rFonts w:ascii="Book Antiqua" w:eastAsia="SimSun" w:hAnsi="Book Antiqua" w:cs="Times New Roman"/>
          <w:lang w:eastAsia="zh-CN"/>
        </w:rPr>
        <w:t>Annex I,</w:t>
      </w:r>
      <w:r w:rsidR="001F11D2" w:rsidRPr="00106209">
        <w:rPr>
          <w:rFonts w:ascii="Book Antiqua" w:eastAsia="SimSun" w:hAnsi="Book Antiqua" w:cs="Times New Roman"/>
          <w:lang w:eastAsia="zh-CN"/>
        </w:rPr>
        <w:t xml:space="preserve"> “Background for the Strategic Plan 2021-2025 (NEASPEC/NFP-2/1)”</w:t>
      </w:r>
      <w:r w:rsidR="009726EA" w:rsidRPr="00106209">
        <w:rPr>
          <w:rFonts w:ascii="Book Antiqua" w:eastAsia="SimSun" w:hAnsi="Book Antiqua" w:cs="Times New Roman"/>
          <w:lang w:eastAsia="zh-CN"/>
        </w:rPr>
        <w:t>,</w:t>
      </w:r>
      <w:r w:rsidR="009726EA">
        <w:rPr>
          <w:rFonts w:ascii="Book Antiqua" w:eastAsia="SimSun" w:hAnsi="Book Antiqua" w:cs="Times New Roman"/>
          <w:lang w:eastAsia="zh-CN"/>
        </w:rPr>
        <w:t xml:space="preserve"> which was submitted</w:t>
      </w:r>
      <w:r w:rsidR="001F11D2" w:rsidRPr="009726EA">
        <w:rPr>
          <w:rFonts w:ascii="Book Antiqua" w:eastAsia="SimSun" w:hAnsi="Book Antiqua" w:cs="Times New Roman"/>
          <w:lang w:eastAsia="zh-CN"/>
        </w:rPr>
        <w:t xml:space="preserve"> to the National Focal Point Meeting</w:t>
      </w:r>
      <w:r w:rsidR="009726EA">
        <w:rPr>
          <w:rFonts w:ascii="Book Antiqua" w:eastAsia="SimSun" w:hAnsi="Book Antiqua" w:cs="Times New Roman"/>
          <w:lang w:eastAsia="zh-CN"/>
        </w:rPr>
        <w:t xml:space="preserve"> held</w:t>
      </w:r>
      <w:r w:rsidR="003B6122">
        <w:rPr>
          <w:rFonts w:ascii="Book Antiqua" w:eastAsia="SimSun" w:hAnsi="Book Antiqua" w:cs="Times New Roman"/>
          <w:lang w:eastAsia="zh-CN"/>
        </w:rPr>
        <w:t xml:space="preserve"> on 6 August </w:t>
      </w:r>
      <w:r w:rsidR="009726EA">
        <w:rPr>
          <w:rFonts w:ascii="Book Antiqua" w:eastAsia="SimSun" w:hAnsi="Book Antiqua" w:cs="Times New Roman"/>
          <w:lang w:eastAsia="zh-CN"/>
        </w:rPr>
        <w:t>2020</w:t>
      </w:r>
      <w:r w:rsidR="001F11D2" w:rsidRPr="009726EA">
        <w:rPr>
          <w:rFonts w:ascii="Book Antiqua" w:eastAsia="SimSun" w:hAnsi="Book Antiqua" w:cs="Times New Roman"/>
          <w:lang w:eastAsia="zh-CN"/>
        </w:rPr>
        <w:t xml:space="preserve">. </w:t>
      </w:r>
      <w:r w:rsidR="002420E1">
        <w:rPr>
          <w:rFonts w:ascii="Book Antiqua" w:eastAsia="SimSun" w:hAnsi="Book Antiqua" w:cs="Times New Roman"/>
          <w:lang w:eastAsia="zh-CN"/>
        </w:rPr>
        <w:t>This background</w:t>
      </w:r>
      <w:r w:rsidR="001F11D2" w:rsidRPr="009726EA">
        <w:rPr>
          <w:rFonts w:ascii="Book Antiqua" w:eastAsia="SimSun" w:hAnsi="Book Antiqua" w:cs="Times New Roman"/>
          <w:lang w:eastAsia="zh-CN"/>
        </w:rPr>
        <w:t xml:space="preserve"> </w:t>
      </w:r>
      <w:r w:rsidR="002420E1">
        <w:rPr>
          <w:rFonts w:ascii="Book Antiqua" w:eastAsia="SimSun" w:hAnsi="Book Antiqua" w:cs="Times New Roman"/>
          <w:lang w:eastAsia="zh-CN"/>
        </w:rPr>
        <w:t xml:space="preserve">document also </w:t>
      </w:r>
      <w:r w:rsidR="001F11D2" w:rsidRPr="00157D4A">
        <w:rPr>
          <w:rFonts w:ascii="Book Antiqua" w:eastAsia="SimSun" w:hAnsi="Book Antiqua" w:cs="Times New Roman"/>
          <w:lang w:eastAsia="zh-CN"/>
        </w:rPr>
        <w:t>presented</w:t>
      </w:r>
      <w:r w:rsidR="001F11D2" w:rsidRPr="009726EA">
        <w:rPr>
          <w:rFonts w:ascii="Book Antiqua" w:eastAsia="SimSun" w:hAnsi="Book Antiqua" w:cs="Times New Roman"/>
          <w:lang w:eastAsia="zh-CN"/>
        </w:rPr>
        <w:t xml:space="preserve"> NEASPEC’s partnership with relevant mechanisms, and regional and global context of the NEASPEC Strategic Plan 2021-2025.</w:t>
      </w:r>
    </w:p>
    <w:p w14:paraId="2401C614" w14:textId="6AAAAC57" w:rsidR="00A73ED6" w:rsidRDefault="009726EA" w:rsidP="00440C3F">
      <w:pPr>
        <w:pStyle w:val="ListParagraph"/>
        <w:numPr>
          <w:ilvl w:val="0"/>
          <w:numId w:val="3"/>
        </w:numPr>
        <w:spacing w:after="120" w:line="340" w:lineRule="atLeast"/>
        <w:ind w:left="0" w:firstLine="0"/>
        <w:contextualSpacing w:val="0"/>
        <w:jc w:val="both"/>
        <w:rPr>
          <w:rFonts w:ascii="Book Antiqua" w:eastAsia="SimSun" w:hAnsi="Book Antiqua" w:cs="Times New Roman"/>
        </w:rPr>
      </w:pPr>
      <w:r w:rsidRPr="00A73ED6">
        <w:rPr>
          <w:rFonts w:ascii="Book Antiqua" w:eastAsia="SimSun" w:hAnsi="Book Antiqua" w:cs="Times New Roman"/>
          <w:lang w:eastAsia="zh-CN"/>
        </w:rPr>
        <w:t>Based on the evaluations, the Secretariat prepared the first draft of the Strategic Plan 2021-2025 and presented it to</w:t>
      </w:r>
      <w:r w:rsidR="001F11D2" w:rsidRPr="00A73ED6">
        <w:rPr>
          <w:rFonts w:ascii="Book Antiqua" w:eastAsia="SimSun" w:hAnsi="Book Antiqua" w:cs="Times New Roman"/>
          <w:lang w:eastAsia="zh-CN"/>
        </w:rPr>
        <w:t xml:space="preserve"> </w:t>
      </w:r>
      <w:r w:rsidR="00A73ED6" w:rsidRPr="00A73ED6">
        <w:rPr>
          <w:rFonts w:ascii="Book Antiqua" w:eastAsia="SimSun" w:hAnsi="Book Antiqua" w:cs="Times New Roman"/>
          <w:lang w:eastAsia="zh-CN"/>
        </w:rPr>
        <w:t xml:space="preserve">the </w:t>
      </w:r>
      <w:r w:rsidR="001F11D2" w:rsidRPr="00A73ED6">
        <w:rPr>
          <w:rFonts w:ascii="Book Antiqua" w:eastAsia="SimSun" w:hAnsi="Book Antiqua" w:cs="Times New Roman"/>
          <w:lang w:eastAsia="zh-CN"/>
        </w:rPr>
        <w:t xml:space="preserve">National Focal Point </w:t>
      </w:r>
      <w:r w:rsidR="00157D4A" w:rsidRPr="00A73ED6">
        <w:rPr>
          <w:rFonts w:ascii="Book Antiqua" w:eastAsia="SimSun" w:hAnsi="Book Antiqua" w:cs="Times New Roman"/>
          <w:lang w:eastAsia="zh-CN"/>
        </w:rPr>
        <w:t>M</w:t>
      </w:r>
      <w:r w:rsidR="001F11D2" w:rsidRPr="00A73ED6">
        <w:rPr>
          <w:rFonts w:ascii="Book Antiqua" w:eastAsia="SimSun" w:hAnsi="Book Antiqua" w:cs="Times New Roman"/>
          <w:lang w:eastAsia="zh-CN"/>
        </w:rPr>
        <w:t>eeting</w:t>
      </w:r>
      <w:r w:rsidRPr="00A73ED6">
        <w:rPr>
          <w:rFonts w:ascii="Book Antiqua" w:eastAsia="SimSun" w:hAnsi="Book Antiqua" w:cs="Times New Roman"/>
          <w:lang w:eastAsia="zh-CN"/>
        </w:rPr>
        <w:t xml:space="preserve">. While </w:t>
      </w:r>
      <w:r w:rsidR="001F11D2" w:rsidRPr="00A73ED6">
        <w:rPr>
          <w:rFonts w:ascii="Book Antiqua" w:eastAsia="SimSun" w:hAnsi="Book Antiqua" w:cs="Times New Roman"/>
          <w:lang w:eastAsia="zh-CN"/>
        </w:rPr>
        <w:t>generally endors</w:t>
      </w:r>
      <w:r w:rsidRPr="00A73ED6">
        <w:rPr>
          <w:rFonts w:ascii="Book Antiqua" w:eastAsia="SimSun" w:hAnsi="Book Antiqua" w:cs="Times New Roman"/>
          <w:lang w:eastAsia="zh-CN"/>
        </w:rPr>
        <w:t>ing</w:t>
      </w:r>
      <w:r w:rsidR="001F11D2" w:rsidRPr="00A73ED6">
        <w:rPr>
          <w:rFonts w:ascii="Book Antiqua" w:eastAsia="SimSun" w:hAnsi="Book Antiqua" w:cs="Times New Roman"/>
          <w:lang w:eastAsia="zh-CN"/>
        </w:rPr>
        <w:t xml:space="preserve"> the draft</w:t>
      </w:r>
      <w:r w:rsidRPr="00A73ED6">
        <w:rPr>
          <w:rFonts w:ascii="Book Antiqua" w:eastAsia="SimSun" w:hAnsi="Book Antiqua" w:cs="Times New Roman"/>
          <w:lang w:eastAsia="zh-CN"/>
        </w:rPr>
        <w:t xml:space="preserve">, the </w:t>
      </w:r>
      <w:r w:rsidR="00157D4A" w:rsidRPr="00A73ED6">
        <w:rPr>
          <w:rFonts w:ascii="Book Antiqua" w:eastAsia="SimSun" w:hAnsi="Book Antiqua" w:cs="Times New Roman"/>
          <w:lang w:eastAsia="zh-CN"/>
        </w:rPr>
        <w:t>M</w:t>
      </w:r>
      <w:r w:rsidRPr="00A73ED6">
        <w:rPr>
          <w:rFonts w:ascii="Book Antiqua" w:eastAsia="SimSun" w:hAnsi="Book Antiqua" w:cs="Times New Roman"/>
          <w:lang w:eastAsia="zh-CN"/>
        </w:rPr>
        <w:t xml:space="preserve">eeting </w:t>
      </w:r>
      <w:r w:rsidR="0011049E" w:rsidRPr="00A73ED6">
        <w:rPr>
          <w:rFonts w:ascii="Book Antiqua" w:eastAsia="SimSun" w:hAnsi="Book Antiqua" w:cs="Times New Roman"/>
          <w:lang w:eastAsia="zh-CN"/>
        </w:rPr>
        <w:t xml:space="preserve">suggested continuing to work with </w:t>
      </w:r>
      <w:r w:rsidRPr="00EC2B08">
        <w:rPr>
          <w:rFonts w:ascii="Book Antiqua" w:eastAsia="SimSun" w:hAnsi="Book Antiqua" w:cs="Times New Roman"/>
          <w:lang w:eastAsia="zh-CN"/>
        </w:rPr>
        <w:t xml:space="preserve">the existing five programmatic </w:t>
      </w:r>
      <w:r w:rsidR="00F553F9" w:rsidRPr="00EC2B08">
        <w:rPr>
          <w:rFonts w:ascii="Book Antiqua" w:eastAsia="SimSun" w:hAnsi="Book Antiqua" w:cs="Times New Roman"/>
          <w:lang w:eastAsia="zh-CN"/>
        </w:rPr>
        <w:t>areas</w:t>
      </w:r>
      <w:r w:rsidR="00F553F9">
        <w:rPr>
          <w:rFonts w:ascii="Book Antiqua" w:eastAsia="SimSun" w:hAnsi="Book Antiqua" w:cs="Times New Roman"/>
          <w:lang w:eastAsia="zh-CN"/>
        </w:rPr>
        <w:t xml:space="preserve"> and</w:t>
      </w:r>
      <w:r w:rsidR="003A1371">
        <w:rPr>
          <w:rFonts w:ascii="Book Antiqua" w:eastAsia="SimSun" w:hAnsi="Book Antiqua" w:cs="Times New Roman"/>
          <w:lang w:eastAsia="zh-CN"/>
        </w:rPr>
        <w:t xml:space="preserve"> provided specific inputs for </w:t>
      </w:r>
      <w:r w:rsidR="00762E77">
        <w:rPr>
          <w:rFonts w:ascii="Book Antiqua" w:eastAsia="SimSun" w:hAnsi="Book Antiqua" w:cs="Times New Roman"/>
          <w:lang w:eastAsia="zh-CN"/>
        </w:rPr>
        <w:t xml:space="preserve">the </w:t>
      </w:r>
      <w:proofErr w:type="spellStart"/>
      <w:r w:rsidR="00762E77">
        <w:rPr>
          <w:rFonts w:ascii="Book Antiqua" w:eastAsia="SimSun" w:hAnsi="Book Antiqua" w:cs="Times New Roman"/>
          <w:lang w:eastAsia="zh-CN"/>
        </w:rPr>
        <w:t>subregional</w:t>
      </w:r>
      <w:proofErr w:type="spellEnd"/>
      <w:r w:rsidR="00762E77">
        <w:rPr>
          <w:rFonts w:ascii="Book Antiqua" w:eastAsia="SimSun" w:hAnsi="Book Antiqua" w:cs="Times New Roman"/>
          <w:lang w:eastAsia="zh-CN"/>
        </w:rPr>
        <w:t xml:space="preserve"> context, the </w:t>
      </w:r>
      <w:proofErr w:type="gramStart"/>
      <w:r w:rsidR="003A1371" w:rsidRPr="009C3D67">
        <w:rPr>
          <w:rFonts w:ascii="Book Antiqua" w:eastAsia="SimSun" w:hAnsi="Book Antiqua" w:cs="Times New Roman"/>
          <w:lang w:eastAsia="zh-CN"/>
        </w:rPr>
        <w:t>objectives</w:t>
      </w:r>
      <w:proofErr w:type="gramEnd"/>
      <w:r w:rsidR="003A1371" w:rsidRPr="009C3D67">
        <w:rPr>
          <w:rFonts w:ascii="Book Antiqua" w:eastAsia="SimSun" w:hAnsi="Book Antiqua" w:cs="Times New Roman"/>
          <w:lang w:eastAsia="zh-CN"/>
        </w:rPr>
        <w:t xml:space="preserve"> and activities</w:t>
      </w:r>
      <w:r w:rsidR="003A1371">
        <w:rPr>
          <w:rFonts w:ascii="Book Antiqua" w:eastAsia="SimSun" w:hAnsi="Book Antiqua" w:cs="Times New Roman"/>
          <w:lang w:eastAsia="zh-CN"/>
        </w:rPr>
        <w:t xml:space="preserve"> in</w:t>
      </w:r>
      <w:r w:rsidR="003A1371" w:rsidRPr="009C3D67">
        <w:rPr>
          <w:rFonts w:ascii="Book Antiqua" w:eastAsia="SimSun" w:hAnsi="Book Antiqua" w:cs="Times New Roman"/>
          <w:lang w:eastAsia="zh-CN"/>
        </w:rPr>
        <w:t xml:space="preserve"> each area</w:t>
      </w:r>
      <w:r w:rsidR="003A1371">
        <w:rPr>
          <w:rFonts w:ascii="Book Antiqua" w:eastAsia="SimSun" w:hAnsi="Book Antiqua" w:cs="Times New Roman"/>
          <w:lang w:eastAsia="zh-CN"/>
        </w:rPr>
        <w:t xml:space="preserve">. </w:t>
      </w:r>
      <w:r w:rsidR="00B42EDD" w:rsidRPr="00A73ED6">
        <w:rPr>
          <w:rFonts w:ascii="Book Antiqua" w:eastAsia="SimSun" w:hAnsi="Book Antiqua" w:cs="Times New Roman"/>
          <w:lang w:eastAsia="zh-CN"/>
        </w:rPr>
        <w:t xml:space="preserve"> The Meeting also</w:t>
      </w:r>
      <w:r w:rsidR="00A73ED6" w:rsidRPr="00A73ED6">
        <w:rPr>
          <w:rFonts w:ascii="Book Antiqua" w:eastAsia="SimSun" w:hAnsi="Book Antiqua" w:cs="Times New Roman"/>
          <w:lang w:eastAsia="zh-CN"/>
        </w:rPr>
        <w:t xml:space="preserve"> </w:t>
      </w:r>
      <w:r w:rsidR="003A1371">
        <w:rPr>
          <w:rFonts w:ascii="Book Antiqua" w:eastAsia="SimSun" w:hAnsi="Book Antiqua" w:cs="Times New Roman"/>
          <w:lang w:eastAsia="zh-CN"/>
        </w:rPr>
        <w:t xml:space="preserve">suggested </w:t>
      </w:r>
      <w:r w:rsidR="00A73ED6" w:rsidRPr="00A73ED6">
        <w:rPr>
          <w:rFonts w:ascii="Book Antiqua" w:eastAsia="SimSun" w:hAnsi="Book Antiqua" w:cs="Times New Roman"/>
          <w:lang w:eastAsia="zh-CN"/>
        </w:rPr>
        <w:t>to consider</w:t>
      </w:r>
      <w:r w:rsidR="00B42EDD" w:rsidRPr="00A73ED6">
        <w:rPr>
          <w:rFonts w:ascii="Book Antiqua" w:eastAsia="SimSun" w:hAnsi="Book Antiqua" w:cs="Times New Roman"/>
          <w:lang w:eastAsia="zh-CN"/>
        </w:rPr>
        <w:t xml:space="preserve"> potential contribution of NEASPEC to the 2030 Agenda for Sustainable Development</w:t>
      </w:r>
      <w:r w:rsidR="00A73ED6" w:rsidRPr="00A73ED6">
        <w:rPr>
          <w:rFonts w:ascii="Book Antiqua" w:eastAsia="SimSun" w:hAnsi="Book Antiqua" w:cs="Times New Roman"/>
          <w:lang w:eastAsia="zh-CN"/>
        </w:rPr>
        <w:t>;</w:t>
      </w:r>
      <w:r w:rsidR="00B42EDD" w:rsidRPr="00A73ED6">
        <w:rPr>
          <w:rFonts w:ascii="Book Antiqua" w:eastAsia="SimSun" w:hAnsi="Book Antiqua" w:cs="Times New Roman"/>
          <w:lang w:eastAsia="zh-CN"/>
        </w:rPr>
        <w:t xml:space="preserve"> potential synergies with relevant mechanisms</w:t>
      </w:r>
      <w:r w:rsidR="00A73ED6" w:rsidRPr="00A73ED6">
        <w:rPr>
          <w:rFonts w:ascii="Book Antiqua" w:eastAsia="SimSun" w:hAnsi="Book Antiqua" w:cs="Times New Roman"/>
          <w:lang w:eastAsia="zh-CN"/>
        </w:rPr>
        <w:t>;</w:t>
      </w:r>
      <w:r w:rsidR="00B42EDD" w:rsidRPr="00A73ED6">
        <w:rPr>
          <w:rFonts w:ascii="Book Antiqua" w:eastAsia="SimSun" w:hAnsi="Book Antiqua" w:cs="Times New Roman"/>
          <w:lang w:eastAsia="zh-CN"/>
        </w:rPr>
        <w:t xml:space="preserve"> </w:t>
      </w:r>
      <w:r w:rsidR="00611840">
        <w:rPr>
          <w:rFonts w:ascii="Book Antiqua" w:eastAsia="SimSun" w:hAnsi="Book Antiqua" w:cs="Times New Roman"/>
          <w:lang w:eastAsia="zh-CN"/>
        </w:rPr>
        <w:t xml:space="preserve">more focused approach and deepening cooperation; </w:t>
      </w:r>
      <w:r w:rsidR="00B42EDD" w:rsidRPr="00A73ED6">
        <w:rPr>
          <w:rFonts w:ascii="Book Antiqua" w:eastAsia="SimSun" w:hAnsi="Book Antiqua" w:cs="Times New Roman"/>
          <w:lang w:eastAsia="zh-CN"/>
        </w:rPr>
        <w:t>more practical targets and concrete actions</w:t>
      </w:r>
      <w:r w:rsidR="00A73ED6" w:rsidRPr="00A73ED6">
        <w:rPr>
          <w:rFonts w:ascii="Book Antiqua" w:eastAsia="SimSun" w:hAnsi="Book Antiqua" w:cs="Times New Roman"/>
          <w:lang w:eastAsia="zh-CN"/>
        </w:rPr>
        <w:t>; different conditions and capacities of member States and target groups</w:t>
      </w:r>
      <w:r w:rsidR="00611840">
        <w:rPr>
          <w:rFonts w:ascii="Book Antiqua" w:eastAsia="SimSun" w:hAnsi="Book Antiqua" w:cs="Times New Roman"/>
          <w:lang w:eastAsia="zh-CN"/>
        </w:rPr>
        <w:t xml:space="preserve">; </w:t>
      </w:r>
      <w:r w:rsidR="00611840" w:rsidRPr="00611840">
        <w:rPr>
          <w:rFonts w:ascii="Book Antiqua" w:eastAsia="SimSun" w:hAnsi="Book Antiqua" w:cs="Times New Roman"/>
          <w:lang w:eastAsia="zh-CN"/>
        </w:rPr>
        <w:t>effective</w:t>
      </w:r>
      <w:r w:rsidR="00611840">
        <w:rPr>
          <w:rFonts w:ascii="Book Antiqua" w:eastAsia="SimSun" w:hAnsi="Book Antiqua" w:cs="Times New Roman"/>
          <w:lang w:eastAsia="zh-CN"/>
        </w:rPr>
        <w:t>ness</w:t>
      </w:r>
      <w:r w:rsidR="00611840" w:rsidRPr="00611840">
        <w:rPr>
          <w:rFonts w:ascii="Book Antiqua" w:eastAsia="SimSun" w:hAnsi="Book Antiqua" w:cs="Times New Roman"/>
          <w:lang w:eastAsia="zh-CN"/>
        </w:rPr>
        <w:t xml:space="preserve"> and efficien</w:t>
      </w:r>
      <w:r w:rsidR="00611840">
        <w:rPr>
          <w:rFonts w:ascii="Book Antiqua" w:eastAsia="SimSun" w:hAnsi="Book Antiqua" w:cs="Times New Roman"/>
          <w:lang w:eastAsia="zh-CN"/>
        </w:rPr>
        <w:t>cy in</w:t>
      </w:r>
      <w:r w:rsidR="00611840" w:rsidRPr="00611840">
        <w:rPr>
          <w:rFonts w:ascii="Book Antiqua" w:eastAsia="SimSun" w:hAnsi="Book Antiqua" w:cs="Times New Roman"/>
          <w:lang w:eastAsia="zh-CN"/>
        </w:rPr>
        <w:t xml:space="preserve"> address</w:t>
      </w:r>
      <w:r w:rsidR="00611840">
        <w:rPr>
          <w:rFonts w:ascii="Book Antiqua" w:eastAsia="SimSun" w:hAnsi="Book Antiqua" w:cs="Times New Roman"/>
          <w:lang w:eastAsia="zh-CN"/>
        </w:rPr>
        <w:t xml:space="preserve">ing </w:t>
      </w:r>
      <w:proofErr w:type="spellStart"/>
      <w:r w:rsidR="00611840">
        <w:rPr>
          <w:rFonts w:ascii="Book Antiqua" w:eastAsia="SimSun" w:hAnsi="Book Antiqua" w:cs="Times New Roman"/>
          <w:lang w:eastAsia="zh-CN"/>
        </w:rPr>
        <w:t>subregional</w:t>
      </w:r>
      <w:proofErr w:type="spellEnd"/>
      <w:r w:rsidR="00611840">
        <w:rPr>
          <w:rFonts w:ascii="Book Antiqua" w:eastAsia="SimSun" w:hAnsi="Book Antiqua" w:cs="Times New Roman"/>
          <w:lang w:eastAsia="zh-CN"/>
        </w:rPr>
        <w:t xml:space="preserve"> </w:t>
      </w:r>
      <w:r w:rsidR="00611840" w:rsidRPr="00611840">
        <w:rPr>
          <w:rFonts w:ascii="Book Antiqua" w:eastAsia="SimSun" w:hAnsi="Book Antiqua" w:cs="Times New Roman"/>
          <w:lang w:eastAsia="zh-CN"/>
        </w:rPr>
        <w:t>priorities</w:t>
      </w:r>
      <w:r w:rsidR="00611840">
        <w:rPr>
          <w:rFonts w:ascii="Book Antiqua" w:eastAsia="SimSun" w:hAnsi="Book Antiqua" w:cs="Times New Roman"/>
          <w:lang w:eastAsia="zh-CN"/>
        </w:rPr>
        <w:t xml:space="preserve">; </w:t>
      </w:r>
      <w:r w:rsidR="00611840" w:rsidRPr="00EC2B08">
        <w:rPr>
          <w:rFonts w:ascii="Book Antiqua" w:eastAsia="SimSun" w:hAnsi="Book Antiqua" w:cs="Times New Roman"/>
          <w:lang w:eastAsia="zh-CN"/>
        </w:rPr>
        <w:t>and</w:t>
      </w:r>
      <w:r w:rsidR="00611840">
        <w:t xml:space="preserve"> </w:t>
      </w:r>
      <w:r w:rsidR="00611840" w:rsidRPr="00611840">
        <w:rPr>
          <w:rFonts w:ascii="Book Antiqua" w:eastAsia="SimSun" w:hAnsi="Book Antiqua" w:cs="Times New Roman"/>
          <w:lang w:eastAsia="zh-CN"/>
        </w:rPr>
        <w:t xml:space="preserve">multidisciplinary and </w:t>
      </w:r>
      <w:proofErr w:type="spellStart"/>
      <w:r w:rsidR="00611840" w:rsidRPr="00611840">
        <w:rPr>
          <w:rFonts w:ascii="Book Antiqua" w:eastAsia="SimSun" w:hAnsi="Book Antiqua" w:cs="Times New Roman"/>
          <w:lang w:eastAsia="zh-CN"/>
        </w:rPr>
        <w:t>multistakeholder</w:t>
      </w:r>
      <w:proofErr w:type="spellEnd"/>
      <w:r w:rsidR="00611840" w:rsidRPr="00611840">
        <w:rPr>
          <w:rFonts w:ascii="Book Antiqua" w:eastAsia="SimSun" w:hAnsi="Book Antiqua" w:cs="Times New Roman"/>
          <w:lang w:eastAsia="zh-CN"/>
        </w:rPr>
        <w:t xml:space="preserve"> partner</w:t>
      </w:r>
      <w:r w:rsidR="00611840">
        <w:rPr>
          <w:rFonts w:ascii="Book Antiqua" w:eastAsia="SimSun" w:hAnsi="Book Antiqua" w:cs="Times New Roman"/>
          <w:lang w:eastAsia="zh-CN"/>
        </w:rPr>
        <w:t>ship</w:t>
      </w:r>
      <w:r w:rsidR="00611840" w:rsidRPr="00611840">
        <w:rPr>
          <w:rFonts w:ascii="Book Antiqua" w:eastAsia="SimSun" w:hAnsi="Book Antiqua" w:cs="Times New Roman"/>
          <w:lang w:eastAsia="zh-CN"/>
        </w:rPr>
        <w:t>.</w:t>
      </w:r>
    </w:p>
    <w:p w14:paraId="2C335ED5" w14:textId="3FE3AB74" w:rsidR="00765840" w:rsidRPr="00D9682B" w:rsidRDefault="0050190E" w:rsidP="00D9682B">
      <w:pPr>
        <w:pStyle w:val="ListParagraph"/>
        <w:numPr>
          <w:ilvl w:val="0"/>
          <w:numId w:val="3"/>
        </w:numPr>
        <w:spacing w:after="120" w:line="340" w:lineRule="atLeast"/>
        <w:ind w:left="0" w:firstLine="0"/>
        <w:contextualSpacing w:val="0"/>
        <w:jc w:val="both"/>
        <w:rPr>
          <w:rFonts w:eastAsia="SimSun" w:cs="Times New Roman"/>
        </w:rPr>
      </w:pPr>
      <w:r>
        <w:rPr>
          <w:rFonts w:ascii="Book Antiqua" w:eastAsia="SimSun" w:hAnsi="Book Antiqua" w:cs="Times New Roman"/>
        </w:rPr>
        <w:t xml:space="preserve">The new Strategic Plan, thus, follows the </w:t>
      </w:r>
      <w:r>
        <w:rPr>
          <w:rFonts w:ascii="Book Antiqua" w:eastAsia="SimSun" w:hAnsi="Book Antiqua" w:cs="Times New Roman"/>
          <w:lang w:eastAsia="zh-CN"/>
        </w:rPr>
        <w:t>programmatic areas outlined in the current Plan</w:t>
      </w:r>
      <w:r w:rsidR="00272158">
        <w:rPr>
          <w:rFonts w:ascii="Book Antiqua" w:eastAsia="SimSun" w:hAnsi="Book Antiqua" w:cs="Times New Roman"/>
          <w:lang w:eastAsia="zh-CN"/>
        </w:rPr>
        <w:t xml:space="preserve"> while</w:t>
      </w:r>
      <w:r>
        <w:rPr>
          <w:rFonts w:ascii="Book Antiqua" w:eastAsia="SimSun" w:hAnsi="Book Antiqua" w:cs="Times New Roman"/>
          <w:lang w:eastAsia="zh-CN"/>
        </w:rPr>
        <w:t xml:space="preserve"> </w:t>
      </w:r>
      <w:r w:rsidR="001534EC">
        <w:rPr>
          <w:rFonts w:ascii="Book Antiqua" w:eastAsia="SimSun" w:hAnsi="Book Antiqua" w:cs="Times New Roman"/>
          <w:lang w:eastAsia="zh-CN"/>
        </w:rPr>
        <w:t xml:space="preserve">keeping </w:t>
      </w:r>
      <w:r w:rsidR="00B6161C">
        <w:rPr>
          <w:rFonts w:ascii="Book Antiqua" w:eastAsia="SimSun" w:hAnsi="Book Antiqua" w:cs="Times New Roman"/>
          <w:lang w:eastAsia="zh-CN"/>
        </w:rPr>
        <w:t xml:space="preserve">the </w:t>
      </w:r>
      <w:r w:rsidR="001534EC">
        <w:rPr>
          <w:rFonts w:ascii="Book Antiqua" w:eastAsia="SimSun" w:hAnsi="Book Antiqua" w:cs="Times New Roman"/>
          <w:lang w:eastAsia="zh-CN"/>
        </w:rPr>
        <w:t xml:space="preserve">flexibility for </w:t>
      </w:r>
      <w:r>
        <w:rPr>
          <w:rFonts w:ascii="Book Antiqua" w:eastAsia="SimSun" w:hAnsi="Book Antiqua" w:cs="Times New Roman"/>
          <w:lang w:eastAsia="zh-CN"/>
        </w:rPr>
        <w:t>new programmatic areas</w:t>
      </w:r>
      <w:r w:rsidR="00B6161C">
        <w:rPr>
          <w:rFonts w:ascii="Book Antiqua" w:eastAsia="SimSun" w:hAnsi="Book Antiqua" w:cs="Times New Roman"/>
          <w:lang w:eastAsia="zh-CN"/>
        </w:rPr>
        <w:t>, that</w:t>
      </w:r>
      <w:r>
        <w:rPr>
          <w:rFonts w:ascii="Book Antiqua" w:eastAsia="SimSun" w:hAnsi="Book Antiqua" w:cs="Times New Roman"/>
          <w:lang w:eastAsia="zh-CN"/>
        </w:rPr>
        <w:t xml:space="preserve"> can be developed if such </w:t>
      </w:r>
      <w:r>
        <w:rPr>
          <w:rFonts w:ascii="Book Antiqua" w:eastAsia="SimSun" w:hAnsi="Book Antiqua" w:cs="Times New Roman"/>
          <w:lang w:eastAsia="zh-CN"/>
        </w:rPr>
        <w:lastRenderedPageBreak/>
        <w:t xml:space="preserve">need is identified and consensus reached among member States. </w:t>
      </w:r>
      <w:r w:rsidRPr="005E05A9">
        <w:rPr>
          <w:rFonts w:ascii="Book Antiqua" w:eastAsia="SimSun" w:hAnsi="Book Antiqua" w:cs="Times New Roman"/>
          <w:lang w:eastAsia="zh-CN"/>
        </w:rPr>
        <w:t xml:space="preserve">The Plan also </w:t>
      </w:r>
      <w:r>
        <w:rPr>
          <w:rFonts w:ascii="Book Antiqua" w:eastAsia="SimSun" w:hAnsi="Book Antiqua" w:cs="Times New Roman"/>
          <w:lang w:eastAsia="zh-CN"/>
        </w:rPr>
        <w:t xml:space="preserve">provides </w:t>
      </w:r>
      <w:r w:rsidRPr="005E05A9">
        <w:rPr>
          <w:rFonts w:ascii="Book Antiqua" w:eastAsia="SimSun" w:hAnsi="Book Antiqua" w:cs="Times New Roman"/>
          <w:lang w:eastAsia="zh-CN"/>
        </w:rPr>
        <w:t>the specific steps for st</w:t>
      </w:r>
      <w:r w:rsidRPr="00A00A49">
        <w:rPr>
          <w:rFonts w:ascii="Book Antiqua" w:eastAsia="SimSun" w:hAnsi="Book Antiqua" w:cs="Times New Roman"/>
          <w:lang w:eastAsia="zh-CN"/>
        </w:rPr>
        <w:t>rengthening the institutional support and monitoring and evaluation.</w:t>
      </w:r>
      <w:r w:rsidR="00272158">
        <w:rPr>
          <w:rFonts w:ascii="Book Antiqua" w:eastAsia="SimSun" w:hAnsi="Book Antiqua" w:cs="Times New Roman"/>
          <w:lang w:eastAsia="zh-CN"/>
        </w:rPr>
        <w:t xml:space="preserve"> </w:t>
      </w:r>
      <w:r w:rsidR="00A73ED6" w:rsidRPr="003B6122">
        <w:rPr>
          <w:rFonts w:ascii="Book Antiqua" w:eastAsia="SimSun" w:hAnsi="Book Antiqua" w:cs="Times New Roman"/>
        </w:rPr>
        <w:t>A</w:t>
      </w:r>
      <w:r w:rsidR="00A73ED6" w:rsidRPr="00EC2B08">
        <w:rPr>
          <w:rFonts w:ascii="Book Antiqua" w:eastAsia="SimSun" w:hAnsi="Book Antiqua" w:cs="Times New Roman"/>
        </w:rPr>
        <w:t>fter the Meeti</w:t>
      </w:r>
      <w:r w:rsidR="003B6122">
        <w:rPr>
          <w:rFonts w:ascii="Book Antiqua" w:eastAsia="SimSun" w:hAnsi="Book Antiqua" w:cs="Times New Roman"/>
        </w:rPr>
        <w:t>ng, the Secretariat circulated a</w:t>
      </w:r>
      <w:r w:rsidR="00A73ED6" w:rsidRPr="003B6122">
        <w:rPr>
          <w:rFonts w:ascii="Book Antiqua" w:eastAsia="SimSun" w:hAnsi="Book Antiqua" w:cs="Times New Roman"/>
        </w:rPr>
        <w:t xml:space="preserve"> revised draft to the national focal points </w:t>
      </w:r>
      <w:r w:rsidR="003B6122">
        <w:rPr>
          <w:rFonts w:ascii="Book Antiqua" w:eastAsia="SimSun" w:hAnsi="Book Antiqua" w:cs="Times New Roman"/>
        </w:rPr>
        <w:t xml:space="preserve">to receive additional feedback and </w:t>
      </w:r>
      <w:proofErr w:type="gramStart"/>
      <w:r w:rsidR="003B6122">
        <w:rPr>
          <w:rFonts w:ascii="Book Antiqua" w:eastAsia="SimSun" w:hAnsi="Book Antiqua" w:cs="Times New Roman"/>
        </w:rPr>
        <w:t>confirmation</w:t>
      </w:r>
      <w:r>
        <w:rPr>
          <w:rFonts w:ascii="Book Antiqua" w:eastAsia="SimSun" w:hAnsi="Book Antiqua" w:cs="Times New Roman"/>
        </w:rPr>
        <w:t>,</w:t>
      </w:r>
      <w:r w:rsidR="003B6122">
        <w:rPr>
          <w:rFonts w:ascii="Book Antiqua" w:eastAsia="SimSun" w:hAnsi="Book Antiqua" w:cs="Times New Roman"/>
        </w:rPr>
        <w:t xml:space="preserve"> and</w:t>
      </w:r>
      <w:proofErr w:type="gramEnd"/>
      <w:r w:rsidR="003B6122">
        <w:rPr>
          <w:rFonts w:ascii="Book Antiqua" w:eastAsia="SimSun" w:hAnsi="Book Antiqua" w:cs="Times New Roman"/>
        </w:rPr>
        <w:t xml:space="preserve"> prepared the following draft for the consideration of SOM-24. </w:t>
      </w:r>
    </w:p>
    <w:p w14:paraId="1F841D1A" w14:textId="77777777" w:rsidR="00D9682B" w:rsidRPr="00D9682B" w:rsidRDefault="00D9682B" w:rsidP="00D9682B">
      <w:pPr>
        <w:pStyle w:val="ListParagraph"/>
        <w:spacing w:after="120" w:line="340" w:lineRule="atLeast"/>
        <w:ind w:left="0"/>
        <w:contextualSpacing w:val="0"/>
        <w:jc w:val="both"/>
        <w:rPr>
          <w:rFonts w:eastAsia="SimSun" w:cs="Times New Roman"/>
        </w:rPr>
      </w:pPr>
    </w:p>
    <w:p w14:paraId="12CCBD07" w14:textId="5EDD04B1" w:rsidR="00D431B4" w:rsidRPr="00F553F9" w:rsidRDefault="00D431B4" w:rsidP="00EC2B08">
      <w:pPr>
        <w:pStyle w:val="Heading1"/>
        <w:numPr>
          <w:ilvl w:val="0"/>
          <w:numId w:val="18"/>
        </w:numPr>
        <w:jc w:val="center"/>
        <w:rPr>
          <w:rFonts w:ascii="Book Antiqua" w:hAnsi="Book Antiqua"/>
          <w:color w:val="auto"/>
          <w:sz w:val="24"/>
          <w:szCs w:val="24"/>
        </w:rPr>
      </w:pPr>
      <w:bookmarkStart w:id="2" w:name="_Toc50649458"/>
      <w:r w:rsidRPr="00F553F9">
        <w:rPr>
          <w:rFonts w:ascii="Book Antiqua" w:hAnsi="Book Antiqua"/>
          <w:color w:val="auto"/>
          <w:sz w:val="24"/>
          <w:szCs w:val="24"/>
        </w:rPr>
        <w:t>STRATEGIC PLAN 2021-2025</w:t>
      </w:r>
      <w:bookmarkEnd w:id="2"/>
    </w:p>
    <w:p w14:paraId="6B664835" w14:textId="77777777" w:rsidR="00D431B4" w:rsidRDefault="00D431B4" w:rsidP="00D431B4">
      <w:pPr>
        <w:spacing w:after="0" w:line="360" w:lineRule="auto"/>
        <w:jc w:val="center"/>
        <w:rPr>
          <w:rFonts w:ascii="Book Antiqua" w:hAnsi="Book Antiqua"/>
          <w:b/>
          <w:sz w:val="32"/>
          <w:szCs w:val="32"/>
        </w:rPr>
      </w:pPr>
      <w:bookmarkStart w:id="3" w:name="_Hlk49946686"/>
    </w:p>
    <w:p w14:paraId="4DECFC75" w14:textId="77777777" w:rsidR="00D431B4" w:rsidRPr="00D9682B" w:rsidRDefault="00D431B4" w:rsidP="00D431B4">
      <w:pPr>
        <w:pStyle w:val="1"/>
        <w:numPr>
          <w:ilvl w:val="0"/>
          <w:numId w:val="11"/>
        </w:numPr>
        <w:spacing w:after="240"/>
        <w:ind w:left="630" w:hanging="630"/>
        <w:rPr>
          <w:rFonts w:ascii="Book Antiqua" w:hAnsi="Book Antiqua"/>
          <w:b/>
          <w:color w:val="0070C0"/>
          <w:sz w:val="24"/>
          <w:szCs w:val="24"/>
        </w:rPr>
      </w:pPr>
      <w:r w:rsidRPr="00D9682B">
        <w:rPr>
          <w:rFonts w:ascii="Book Antiqua" w:hAnsi="Book Antiqua"/>
          <w:b/>
          <w:color w:val="0070C0"/>
          <w:sz w:val="24"/>
          <w:szCs w:val="24"/>
        </w:rPr>
        <w:t>Introduction</w:t>
      </w:r>
    </w:p>
    <w:p w14:paraId="179E013A" w14:textId="385D7DF0" w:rsidR="00D431B4" w:rsidRDefault="00D431B4" w:rsidP="00D431B4">
      <w:pPr>
        <w:spacing w:after="240"/>
        <w:jc w:val="both"/>
        <w:rPr>
          <w:rFonts w:ascii="Book Antiqua" w:hAnsi="Book Antiqua"/>
        </w:rPr>
      </w:pPr>
      <w:r>
        <w:rPr>
          <w:rFonts w:ascii="Book Antiqua" w:hAnsi="Book Antiqua"/>
          <w:bCs/>
        </w:rPr>
        <w:t xml:space="preserve">Since 1993, </w:t>
      </w:r>
      <w:r>
        <w:rPr>
          <w:rFonts w:ascii="Book Antiqua" w:hAnsi="Book Antiqua"/>
          <w:b/>
        </w:rPr>
        <w:t xml:space="preserve">North-East Asian </w:t>
      </w:r>
      <w:proofErr w:type="spellStart"/>
      <w:r>
        <w:rPr>
          <w:rFonts w:ascii="Book Antiqua" w:hAnsi="Book Antiqua"/>
          <w:b/>
        </w:rPr>
        <w:t>Subregional</w:t>
      </w:r>
      <w:proofErr w:type="spellEnd"/>
      <w:r>
        <w:rPr>
          <w:rFonts w:ascii="Book Antiqua" w:hAnsi="Book Antiqua"/>
          <w:b/>
        </w:rPr>
        <w:t xml:space="preserve"> </w:t>
      </w:r>
      <w:proofErr w:type="spellStart"/>
      <w:r>
        <w:rPr>
          <w:rFonts w:ascii="Book Antiqua" w:hAnsi="Book Antiqua"/>
          <w:b/>
        </w:rPr>
        <w:t>Programme</w:t>
      </w:r>
      <w:proofErr w:type="spellEnd"/>
      <w:r>
        <w:rPr>
          <w:rFonts w:ascii="Book Antiqua" w:hAnsi="Book Antiqua"/>
          <w:b/>
        </w:rPr>
        <w:t xml:space="preserve"> for Environmental Cooperation (NEASPEC)</w:t>
      </w:r>
      <w:r>
        <w:rPr>
          <w:rFonts w:ascii="Book Antiqua" w:hAnsi="Book Antiqua"/>
        </w:rPr>
        <w:t xml:space="preserve"> has served as a comprehensive intergovernmental cooperation framework in North-East Asia with membership of six countries: China, </w:t>
      </w:r>
      <w:r w:rsidR="0075706E">
        <w:rPr>
          <w:rFonts w:ascii="Book Antiqua" w:hAnsi="Book Antiqua"/>
        </w:rPr>
        <w:t xml:space="preserve">the </w:t>
      </w:r>
      <w:r>
        <w:rPr>
          <w:rFonts w:ascii="Book Antiqua" w:hAnsi="Book Antiqua"/>
        </w:rPr>
        <w:t xml:space="preserve">Democratic People’s Republic of Korea, Japan, Mongolia, </w:t>
      </w:r>
      <w:r w:rsidR="00EF7627">
        <w:rPr>
          <w:rFonts w:ascii="Book Antiqua" w:hAnsi="Book Antiqua"/>
        </w:rPr>
        <w:t xml:space="preserve">the </w:t>
      </w:r>
      <w:r>
        <w:rPr>
          <w:rFonts w:ascii="Book Antiqua" w:hAnsi="Book Antiqua"/>
        </w:rPr>
        <w:t xml:space="preserve">Republic of Korea and the Russian Federation. NEASPEC has pursued a multi-disciplinary and multi-sectoral approach to address </w:t>
      </w:r>
      <w:proofErr w:type="spellStart"/>
      <w:r>
        <w:rPr>
          <w:rFonts w:ascii="Book Antiqua" w:hAnsi="Book Antiqua"/>
        </w:rPr>
        <w:t>subregional</w:t>
      </w:r>
      <w:proofErr w:type="spellEnd"/>
      <w:r>
        <w:rPr>
          <w:rFonts w:ascii="Book Antiqua" w:hAnsi="Book Antiqua"/>
        </w:rPr>
        <w:t xml:space="preserve"> environmental challenges. </w:t>
      </w:r>
    </w:p>
    <w:p w14:paraId="23A1D70D" w14:textId="77777777" w:rsidR="00D431B4" w:rsidRDefault="00D431B4" w:rsidP="00D431B4">
      <w:pPr>
        <w:spacing w:after="240"/>
        <w:jc w:val="both"/>
        <w:rPr>
          <w:rFonts w:ascii="Book Antiqua" w:hAnsi="Book Antiqua"/>
        </w:rPr>
      </w:pPr>
      <w:r>
        <w:rPr>
          <w:rFonts w:ascii="Book Antiqua" w:hAnsi="Book Antiqua"/>
        </w:rPr>
        <w:t xml:space="preserve">The Framework for NEASPEC adopted at the third Senior Officials Meeting (SOM-3) in 1996 sets out the principal objective of the </w:t>
      </w:r>
      <w:proofErr w:type="spellStart"/>
      <w:r>
        <w:rPr>
          <w:rFonts w:ascii="Book Antiqua" w:hAnsi="Book Antiqua"/>
        </w:rPr>
        <w:t>Programme</w:t>
      </w:r>
      <w:proofErr w:type="spellEnd"/>
      <w:r>
        <w:rPr>
          <w:rFonts w:ascii="Book Antiqua" w:hAnsi="Book Antiqua"/>
        </w:rPr>
        <w:t xml:space="preserve"> as “to promote </w:t>
      </w:r>
      <w:proofErr w:type="spellStart"/>
      <w:r>
        <w:rPr>
          <w:rFonts w:ascii="Book Antiqua" w:hAnsi="Book Antiqua"/>
        </w:rPr>
        <w:t>subregional</w:t>
      </w:r>
      <w:proofErr w:type="spellEnd"/>
      <w:r>
        <w:rPr>
          <w:rFonts w:ascii="Book Antiqua" w:hAnsi="Book Antiqua"/>
        </w:rPr>
        <w:t xml:space="preserve"> environmental cooperation and sustainable development efforts for enhancement of quality of life and well-being of present and future generations”. Furthermore, the Vision Statement for NEASPEC adopted at SOM-6 in 2000 calls on member States to “promote common policy dialogue on approaches and </w:t>
      </w:r>
      <w:proofErr w:type="gramStart"/>
      <w:r>
        <w:rPr>
          <w:rFonts w:ascii="Book Antiqua" w:hAnsi="Book Antiqua"/>
        </w:rPr>
        <w:t>views, and</w:t>
      </w:r>
      <w:proofErr w:type="gramEnd"/>
      <w:r>
        <w:rPr>
          <w:rFonts w:ascii="Book Antiqua" w:hAnsi="Book Antiqua"/>
        </w:rPr>
        <w:t xml:space="preserve"> coordinated actions on </w:t>
      </w:r>
      <w:proofErr w:type="spellStart"/>
      <w:r>
        <w:rPr>
          <w:rFonts w:ascii="Book Antiqua" w:hAnsi="Book Antiqua"/>
        </w:rPr>
        <w:t>subregional</w:t>
      </w:r>
      <w:proofErr w:type="spellEnd"/>
      <w:r>
        <w:rPr>
          <w:rFonts w:ascii="Book Antiqua" w:hAnsi="Book Antiqua"/>
        </w:rPr>
        <w:t xml:space="preserve"> environmental issues”. </w:t>
      </w:r>
    </w:p>
    <w:p w14:paraId="12C3E46B" w14:textId="77777777" w:rsidR="00D431B4" w:rsidRDefault="00D431B4" w:rsidP="00D431B4">
      <w:pPr>
        <w:spacing w:after="240"/>
        <w:jc w:val="both"/>
        <w:rPr>
          <w:rFonts w:ascii="Book Antiqua" w:hAnsi="Book Antiqua"/>
        </w:rPr>
      </w:pPr>
      <w:r>
        <w:rPr>
          <w:rFonts w:ascii="Book Antiqua" w:hAnsi="Book Antiqua"/>
        </w:rPr>
        <w:t xml:space="preserve">NEASPEC during 2010-2011 has strengthened the secretariat arrangement with ESCAP from interim to permanent following to the establishment of the ESCAP </w:t>
      </w:r>
      <w:proofErr w:type="spellStart"/>
      <w:r>
        <w:rPr>
          <w:rFonts w:ascii="Book Antiqua" w:hAnsi="Book Antiqua"/>
        </w:rPr>
        <w:t>Subregional</w:t>
      </w:r>
      <w:proofErr w:type="spellEnd"/>
      <w:r>
        <w:rPr>
          <w:rFonts w:ascii="Book Antiqua" w:hAnsi="Book Antiqua"/>
        </w:rPr>
        <w:t xml:space="preserve"> Office for East and North-East Asia. In this connection, after a study on challenges and opportunities of NEASPEC in 2012 and a series of consultations, the SOM-20 in 2016 adopted the NEASPEC Strategic Plan 2016-2020 to share a long-term view on the direction of NEASPEC and to enhance the efficiency of NEASPEC. </w:t>
      </w:r>
    </w:p>
    <w:p w14:paraId="001E966C" w14:textId="77777777" w:rsidR="00D431B4" w:rsidRDefault="00D431B4" w:rsidP="00D431B4">
      <w:pPr>
        <w:spacing w:after="240"/>
        <w:jc w:val="both"/>
        <w:rPr>
          <w:rFonts w:ascii="Book Antiqua" w:hAnsi="Book Antiqua"/>
        </w:rPr>
      </w:pPr>
      <w:bookmarkStart w:id="4" w:name="_Hlk45022137"/>
      <w:r>
        <w:rPr>
          <w:rFonts w:ascii="Book Antiqua" w:hAnsi="Book Antiqua"/>
        </w:rPr>
        <w:t xml:space="preserve">The Strategic Plan has served as a guiding document for developing and implementing NEASPEC work in five programmatic areas: (a) Transboundary Air Pollution; (b) Biodiversity and Nature Conservation; (c) Marine Protected Areas, (d) Low Carbon Cities, and (e) Desertification and Land Degradation. The Strategic Plan supports strengthening and institutionalizing cooperation platforms, namely, the North-East Asian Marine Protected Areas Network (NEAMPAN), the North-East Asia Low Carbon City Platform (NEA-LCCP), and the North-East Asia Clean Air Partnership (NEACAP), which enable the NEASPEC work to move from short-term, project-based to long-term, programmatic approach. The approaches of the </w:t>
      </w:r>
      <w:r>
        <w:rPr>
          <w:rFonts w:ascii="Book Antiqua" w:hAnsi="Book Antiqua"/>
        </w:rPr>
        <w:lastRenderedPageBreak/>
        <w:t>Strategic Plan also support the NEASPEC work to become more strategic towards strengthening science-policy linkage, operating stakeholder platforms, sharing knowledge, and linking the work with regional and global goals.</w:t>
      </w:r>
    </w:p>
    <w:p w14:paraId="307D4D88" w14:textId="08FD189F" w:rsidR="00D431B4" w:rsidRDefault="00D431B4" w:rsidP="00D431B4">
      <w:pPr>
        <w:spacing w:after="240"/>
        <w:jc w:val="both"/>
        <w:rPr>
          <w:rFonts w:ascii="Book Antiqua" w:hAnsi="Book Antiqua"/>
        </w:rPr>
      </w:pPr>
      <w:bookmarkStart w:id="5" w:name="_Hlk45022199"/>
      <w:bookmarkEnd w:id="4"/>
      <w:r>
        <w:rPr>
          <w:rFonts w:ascii="Book Antiqua" w:hAnsi="Book Antiqua"/>
        </w:rPr>
        <w:t>Having built on the Strategic Plan 2016-2020</w:t>
      </w:r>
      <w:bookmarkEnd w:id="5"/>
      <w:r>
        <w:rPr>
          <w:rFonts w:ascii="Book Antiqua" w:hAnsi="Book Antiqua"/>
        </w:rPr>
        <w:t xml:space="preserve"> and reflecting new development during its implementation, the programmatic areas of the Strategic Plan 2021-2025 are (a) Air Pollution, (b) Biodiversity and Nature Conservation, (c) Marine Protected Areas, (d) Low Carbon Cities, and (e) Desertification and Land Degradation</w:t>
      </w:r>
      <w:r w:rsidR="0008578A">
        <w:rPr>
          <w:rFonts w:ascii="Book Antiqua" w:hAnsi="Book Antiqua"/>
        </w:rPr>
        <w:t>.</w:t>
      </w:r>
      <w:r>
        <w:rPr>
          <w:rFonts w:ascii="Book Antiqua" w:hAnsi="Book Antiqua"/>
        </w:rPr>
        <w:t xml:space="preserve">  While focusing on the five areas, the Strategic Plan may provide room for identifying other emerging issues of mutual interests among member States and support dialogue and cooperation on the issues. Thus, new programmatic areas can be explored and developed under the Strategic Plan 2021-2025 if such need is identified and consensus reached among member States. </w:t>
      </w:r>
    </w:p>
    <w:p w14:paraId="521418E6" w14:textId="15BB9923" w:rsidR="00D431B4" w:rsidRDefault="00D431B4" w:rsidP="00D431B4">
      <w:pPr>
        <w:spacing w:after="240"/>
        <w:jc w:val="both"/>
        <w:rPr>
          <w:rFonts w:ascii="Book Antiqua" w:hAnsi="Book Antiqua"/>
        </w:rPr>
      </w:pPr>
      <w:r>
        <w:rPr>
          <w:rFonts w:ascii="Book Antiqua" w:hAnsi="Book Antiqua"/>
        </w:rPr>
        <w:t xml:space="preserve">Furthermore, the work of NEASPEC is expected to contribute member States’ commitment to regional and global goals. In particular, the SOM-23 noted the views of member States on linking the next strategic plan with the 2030 Agenda for Sustainable Development including the Sustainable Development Goals (SDGs). The five programmatic areas are closely linked to one or more SDGs as shown in the following table (Table 1). </w:t>
      </w:r>
      <w:r w:rsidR="00213BC2">
        <w:rPr>
          <w:rFonts w:ascii="Book Antiqua" w:hAnsi="Book Antiqua"/>
        </w:rPr>
        <w:t xml:space="preserve">Noting </w:t>
      </w:r>
      <w:r>
        <w:rPr>
          <w:rFonts w:ascii="Book Antiqua" w:hAnsi="Book Antiqua"/>
        </w:rPr>
        <w:t xml:space="preserve">that the seventeen SDGs are interrelated and can enhance each other, each programmatic area is also indirectly linked and contribute to other SDGs.  </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8136"/>
      </w:tblGrid>
      <w:tr w:rsidR="00D431B4" w14:paraId="3008026B" w14:textId="77777777" w:rsidTr="0008578A">
        <w:tc>
          <w:tcPr>
            <w:tcW w:w="9180" w:type="dxa"/>
            <w:gridSpan w:val="2"/>
            <w:tcBorders>
              <w:bottom w:val="single" w:sz="4" w:space="0" w:color="auto"/>
            </w:tcBorders>
            <w:shd w:val="clear" w:color="auto" w:fill="FFFFFF" w:themeFill="background1"/>
          </w:tcPr>
          <w:p w14:paraId="680C0426" w14:textId="77777777" w:rsidR="00D431B4" w:rsidRDefault="00D431B4" w:rsidP="009C3D67">
            <w:pPr>
              <w:spacing w:before="120" w:after="120" w:line="240" w:lineRule="exact"/>
              <w:jc w:val="center"/>
              <w:rPr>
                <w:rFonts w:ascii="Candara" w:hAnsi="Candara"/>
                <w:b/>
              </w:rPr>
            </w:pPr>
            <w:r>
              <w:rPr>
                <w:rFonts w:ascii="Book Antiqua" w:hAnsi="Book Antiqua"/>
              </w:rPr>
              <w:br w:type="page"/>
            </w:r>
            <w:r>
              <w:rPr>
                <w:rFonts w:ascii="Candara" w:hAnsi="Candara"/>
                <w:b/>
              </w:rPr>
              <w:t>Table 1. NEASPEC programmatic areas and their directly related SDGs</w:t>
            </w:r>
          </w:p>
        </w:tc>
      </w:tr>
      <w:tr w:rsidR="00D431B4" w14:paraId="59216461" w14:textId="77777777" w:rsidTr="0008578A">
        <w:tc>
          <w:tcPr>
            <w:tcW w:w="918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E5189D4" w14:textId="77777777" w:rsidR="00D431B4" w:rsidRDefault="00D431B4" w:rsidP="009C3D67">
            <w:pPr>
              <w:spacing w:before="120" w:after="120" w:line="240" w:lineRule="exact"/>
              <w:rPr>
                <w:rFonts w:ascii="Candara" w:hAnsi="Candara"/>
                <w:b/>
              </w:rPr>
            </w:pPr>
            <w:r>
              <w:rPr>
                <w:rFonts w:ascii="Candara" w:hAnsi="Candara"/>
                <w:b/>
              </w:rPr>
              <w:t>Air Pollution</w:t>
            </w:r>
          </w:p>
        </w:tc>
      </w:tr>
      <w:tr w:rsidR="00D431B4" w14:paraId="526E784C" w14:textId="77777777" w:rsidTr="0008578A">
        <w:tc>
          <w:tcPr>
            <w:tcW w:w="1044" w:type="dxa"/>
            <w:tcBorders>
              <w:top w:val="single" w:sz="4" w:space="0" w:color="auto"/>
              <w:left w:val="single" w:sz="4" w:space="0" w:color="auto"/>
              <w:bottom w:val="single" w:sz="4" w:space="0" w:color="auto"/>
            </w:tcBorders>
            <w:vAlign w:val="center"/>
          </w:tcPr>
          <w:p w14:paraId="7114B953" w14:textId="77777777" w:rsidR="00D431B4" w:rsidRDefault="00D431B4" w:rsidP="009C3D67">
            <w:pPr>
              <w:spacing w:before="120" w:after="120" w:line="240" w:lineRule="exact"/>
              <w:rPr>
                <w:rFonts w:ascii="Candara" w:hAnsi="Candara"/>
              </w:rPr>
            </w:pPr>
            <w:r>
              <w:rPr>
                <w:rFonts w:ascii="Candara" w:hAnsi="Candara"/>
              </w:rPr>
              <w:t xml:space="preserve">Goal 3.  </w:t>
            </w:r>
          </w:p>
        </w:tc>
        <w:tc>
          <w:tcPr>
            <w:tcW w:w="8136" w:type="dxa"/>
            <w:tcBorders>
              <w:top w:val="single" w:sz="4" w:space="0" w:color="auto"/>
              <w:bottom w:val="single" w:sz="4" w:space="0" w:color="auto"/>
              <w:right w:val="single" w:sz="4" w:space="0" w:color="auto"/>
            </w:tcBorders>
            <w:vAlign w:val="center"/>
          </w:tcPr>
          <w:p w14:paraId="4316880F" w14:textId="77777777" w:rsidR="00D431B4" w:rsidRDefault="00D431B4" w:rsidP="009C3D67">
            <w:pPr>
              <w:spacing w:before="120" w:after="120" w:line="240" w:lineRule="exact"/>
              <w:rPr>
                <w:rFonts w:ascii="Candara" w:hAnsi="Candara"/>
              </w:rPr>
            </w:pPr>
            <w:r>
              <w:rPr>
                <w:rFonts w:ascii="Candara" w:hAnsi="Candara"/>
              </w:rPr>
              <w:t xml:space="preserve">Good health and well-being:  substantially reduce the number of deaths and illnesses from hazardous chemicals and </w:t>
            </w:r>
            <w:r>
              <w:rPr>
                <w:rFonts w:ascii="Candara" w:hAnsi="Candara"/>
                <w:u w:val="single"/>
              </w:rPr>
              <w:t>air</w:t>
            </w:r>
            <w:r>
              <w:rPr>
                <w:rFonts w:ascii="Candara" w:hAnsi="Candara"/>
              </w:rPr>
              <w:t xml:space="preserve">, </w:t>
            </w:r>
            <w:proofErr w:type="gramStart"/>
            <w:r>
              <w:rPr>
                <w:rFonts w:ascii="Candara" w:hAnsi="Candara"/>
              </w:rPr>
              <w:t>water</w:t>
            </w:r>
            <w:proofErr w:type="gramEnd"/>
            <w:r>
              <w:rPr>
                <w:rFonts w:ascii="Candara" w:hAnsi="Candara"/>
              </w:rPr>
              <w:t xml:space="preserve"> and soil </w:t>
            </w:r>
            <w:r>
              <w:rPr>
                <w:rFonts w:ascii="Candara" w:hAnsi="Candara"/>
                <w:u w:val="single"/>
              </w:rPr>
              <w:t>pollution</w:t>
            </w:r>
          </w:p>
        </w:tc>
      </w:tr>
      <w:tr w:rsidR="00D431B4" w14:paraId="438FF9CA" w14:textId="77777777" w:rsidTr="0008578A">
        <w:tc>
          <w:tcPr>
            <w:tcW w:w="1044" w:type="dxa"/>
            <w:tcBorders>
              <w:top w:val="single" w:sz="4" w:space="0" w:color="auto"/>
              <w:left w:val="single" w:sz="4" w:space="0" w:color="auto"/>
              <w:bottom w:val="single" w:sz="4" w:space="0" w:color="auto"/>
            </w:tcBorders>
            <w:vAlign w:val="center"/>
          </w:tcPr>
          <w:p w14:paraId="7309D512" w14:textId="77777777" w:rsidR="00D431B4" w:rsidRDefault="00D431B4" w:rsidP="009C3D67">
            <w:pPr>
              <w:spacing w:before="120" w:after="120" w:line="240" w:lineRule="exact"/>
              <w:rPr>
                <w:rFonts w:ascii="Candara" w:hAnsi="Candara"/>
              </w:rPr>
            </w:pPr>
            <w:r>
              <w:rPr>
                <w:rFonts w:ascii="Candara" w:hAnsi="Candara"/>
              </w:rPr>
              <w:t xml:space="preserve">Goal11. </w:t>
            </w:r>
          </w:p>
        </w:tc>
        <w:tc>
          <w:tcPr>
            <w:tcW w:w="8136" w:type="dxa"/>
            <w:tcBorders>
              <w:top w:val="single" w:sz="4" w:space="0" w:color="auto"/>
              <w:bottom w:val="single" w:sz="4" w:space="0" w:color="auto"/>
              <w:right w:val="single" w:sz="4" w:space="0" w:color="auto"/>
            </w:tcBorders>
            <w:vAlign w:val="center"/>
          </w:tcPr>
          <w:p w14:paraId="5B400F18" w14:textId="77777777" w:rsidR="00D431B4" w:rsidRDefault="00D431B4" w:rsidP="009C3D67">
            <w:pPr>
              <w:spacing w:before="120" w:after="120" w:line="240" w:lineRule="exact"/>
              <w:rPr>
                <w:rFonts w:ascii="Candara" w:hAnsi="Candara"/>
              </w:rPr>
            </w:pPr>
            <w:r>
              <w:t xml:space="preserve">Sustainable Cities and Communities: reduce the adverse per capita environmental impact of cities, including by paying special attention to </w:t>
            </w:r>
            <w:r>
              <w:rPr>
                <w:u w:val="single"/>
              </w:rPr>
              <w:t>air quality</w:t>
            </w:r>
            <w:r>
              <w:t xml:space="preserve"> and municipal and other waste management</w:t>
            </w:r>
          </w:p>
        </w:tc>
      </w:tr>
      <w:tr w:rsidR="00D431B4" w14:paraId="7D3F0BA0" w14:textId="77777777" w:rsidTr="0008578A">
        <w:tc>
          <w:tcPr>
            <w:tcW w:w="918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6E8DB5" w14:textId="77777777" w:rsidR="00D431B4" w:rsidRDefault="00D431B4" w:rsidP="009C3D67">
            <w:pPr>
              <w:spacing w:before="120" w:after="120" w:line="240" w:lineRule="exact"/>
              <w:rPr>
                <w:rFonts w:ascii="Candara" w:hAnsi="Candara"/>
                <w:b/>
              </w:rPr>
            </w:pPr>
            <w:r>
              <w:rPr>
                <w:rFonts w:ascii="Candara" w:hAnsi="Candara"/>
                <w:b/>
              </w:rPr>
              <w:t>Biodiversity and Nature Conservation</w:t>
            </w:r>
          </w:p>
        </w:tc>
      </w:tr>
      <w:tr w:rsidR="00D431B4" w14:paraId="483ACEF2" w14:textId="77777777" w:rsidTr="0008578A">
        <w:trPr>
          <w:trHeight w:val="900"/>
        </w:trPr>
        <w:tc>
          <w:tcPr>
            <w:tcW w:w="1044" w:type="dxa"/>
            <w:tcBorders>
              <w:top w:val="single" w:sz="4" w:space="0" w:color="auto"/>
              <w:left w:val="single" w:sz="4" w:space="0" w:color="auto"/>
              <w:bottom w:val="single" w:sz="4" w:space="0" w:color="auto"/>
            </w:tcBorders>
            <w:vAlign w:val="center"/>
          </w:tcPr>
          <w:p w14:paraId="76AE0623" w14:textId="77777777" w:rsidR="00D431B4" w:rsidRDefault="00D431B4" w:rsidP="009C3D67">
            <w:pPr>
              <w:spacing w:before="120" w:after="120" w:line="240" w:lineRule="exact"/>
              <w:rPr>
                <w:rFonts w:ascii="Candara" w:hAnsi="Candara"/>
                <w:u w:val="single"/>
              </w:rPr>
            </w:pPr>
            <w:r>
              <w:rPr>
                <w:rFonts w:ascii="Candara" w:hAnsi="Candara"/>
              </w:rPr>
              <w:t>Goal 6.</w:t>
            </w:r>
          </w:p>
        </w:tc>
        <w:tc>
          <w:tcPr>
            <w:tcW w:w="8136" w:type="dxa"/>
            <w:tcBorders>
              <w:top w:val="single" w:sz="4" w:space="0" w:color="auto"/>
              <w:bottom w:val="single" w:sz="4" w:space="0" w:color="auto"/>
              <w:right w:val="single" w:sz="4" w:space="0" w:color="auto"/>
            </w:tcBorders>
            <w:vAlign w:val="center"/>
          </w:tcPr>
          <w:p w14:paraId="0D2E673A" w14:textId="77777777" w:rsidR="00D431B4" w:rsidRDefault="00D431B4" w:rsidP="009C3D67">
            <w:pPr>
              <w:spacing w:before="120" w:after="120" w:line="240" w:lineRule="exact"/>
              <w:rPr>
                <w:rFonts w:ascii="Candara" w:hAnsi="Candara"/>
              </w:rPr>
            </w:pPr>
            <w:r>
              <w:rPr>
                <w:rFonts w:ascii="Candara" w:hAnsi="Candara"/>
              </w:rPr>
              <w:t xml:space="preserve">Clean water and sanitation: protect and restore water-related ecosystems, including mountains, </w:t>
            </w:r>
            <w:r>
              <w:rPr>
                <w:rFonts w:ascii="Candara" w:hAnsi="Candara"/>
                <w:u w:val="single"/>
              </w:rPr>
              <w:t>forests, wetlands</w:t>
            </w:r>
            <w:r>
              <w:rPr>
                <w:rFonts w:ascii="Candara" w:hAnsi="Candara"/>
              </w:rPr>
              <w:t xml:space="preserve">, rivers, </w:t>
            </w:r>
            <w:proofErr w:type="gramStart"/>
            <w:r>
              <w:rPr>
                <w:rFonts w:ascii="Candara" w:hAnsi="Candara"/>
              </w:rPr>
              <w:t>aquifers</w:t>
            </w:r>
            <w:proofErr w:type="gramEnd"/>
            <w:r>
              <w:rPr>
                <w:rFonts w:ascii="Candara" w:hAnsi="Candara"/>
              </w:rPr>
              <w:t xml:space="preserve"> and lakes; implement integrated water resources management at all levels, including through </w:t>
            </w:r>
            <w:r>
              <w:rPr>
                <w:rFonts w:ascii="Candara" w:hAnsi="Candara"/>
                <w:u w:val="single"/>
              </w:rPr>
              <w:t>transboundary cooperation</w:t>
            </w:r>
            <w:r>
              <w:rPr>
                <w:rFonts w:ascii="Candara" w:hAnsi="Candara"/>
              </w:rPr>
              <w:t xml:space="preserve"> as appropriate.</w:t>
            </w:r>
          </w:p>
        </w:tc>
      </w:tr>
      <w:tr w:rsidR="00D431B4" w14:paraId="377A27B7" w14:textId="77777777" w:rsidTr="0008578A">
        <w:trPr>
          <w:trHeight w:val="900"/>
        </w:trPr>
        <w:tc>
          <w:tcPr>
            <w:tcW w:w="1044" w:type="dxa"/>
            <w:tcBorders>
              <w:top w:val="single" w:sz="4" w:space="0" w:color="auto"/>
              <w:left w:val="single" w:sz="4" w:space="0" w:color="auto"/>
              <w:bottom w:val="single" w:sz="4" w:space="0" w:color="auto"/>
            </w:tcBorders>
            <w:vAlign w:val="center"/>
          </w:tcPr>
          <w:p w14:paraId="13220092" w14:textId="77777777" w:rsidR="00D431B4" w:rsidRDefault="00D431B4" w:rsidP="009C3D67">
            <w:pPr>
              <w:spacing w:before="120" w:after="120" w:line="240" w:lineRule="exact"/>
              <w:rPr>
                <w:rFonts w:ascii="Candara" w:hAnsi="Candara"/>
              </w:rPr>
            </w:pPr>
            <w:r>
              <w:rPr>
                <w:rFonts w:ascii="Candara" w:hAnsi="Candara"/>
              </w:rPr>
              <w:t xml:space="preserve">Goal 15.  </w:t>
            </w:r>
          </w:p>
        </w:tc>
        <w:tc>
          <w:tcPr>
            <w:tcW w:w="8136" w:type="dxa"/>
            <w:tcBorders>
              <w:top w:val="single" w:sz="4" w:space="0" w:color="auto"/>
              <w:bottom w:val="single" w:sz="4" w:space="0" w:color="auto"/>
              <w:right w:val="single" w:sz="4" w:space="0" w:color="auto"/>
            </w:tcBorders>
            <w:vAlign w:val="center"/>
          </w:tcPr>
          <w:p w14:paraId="1A7C8EAC" w14:textId="77777777" w:rsidR="00D431B4" w:rsidRDefault="00D431B4" w:rsidP="009C3D67">
            <w:pPr>
              <w:spacing w:before="120" w:after="120" w:line="240" w:lineRule="exact"/>
              <w:rPr>
                <w:rFonts w:ascii="Candara" w:hAnsi="Candara"/>
              </w:rPr>
            </w:pPr>
            <w:r>
              <w:rPr>
                <w:rFonts w:ascii="Candara" w:hAnsi="Candara"/>
              </w:rPr>
              <w:t xml:space="preserve">Life on land:  protect, </w:t>
            </w:r>
            <w:proofErr w:type="gramStart"/>
            <w:r>
              <w:rPr>
                <w:rFonts w:ascii="Candara" w:hAnsi="Candara"/>
              </w:rPr>
              <w:t>restore</w:t>
            </w:r>
            <w:proofErr w:type="gramEnd"/>
            <w:r>
              <w:rPr>
                <w:rFonts w:ascii="Candara" w:hAnsi="Candara"/>
              </w:rPr>
              <w:t xml:space="preserve"> and promote sustainable use of </w:t>
            </w:r>
            <w:r>
              <w:rPr>
                <w:rFonts w:ascii="Candara" w:hAnsi="Candara"/>
                <w:u w:val="single"/>
              </w:rPr>
              <w:t>terrestrial ecosystems</w:t>
            </w:r>
            <w:r>
              <w:rPr>
                <w:rFonts w:ascii="Candara" w:hAnsi="Candara"/>
              </w:rPr>
              <w:t xml:space="preserve">, sustainably manage forests, combat desertification, and halt and reverse land degradation and </w:t>
            </w:r>
            <w:r>
              <w:rPr>
                <w:rFonts w:ascii="Candara" w:hAnsi="Candara"/>
                <w:u w:val="single"/>
              </w:rPr>
              <w:t>halt biodiversity loss</w:t>
            </w:r>
          </w:p>
        </w:tc>
      </w:tr>
      <w:tr w:rsidR="00D431B4" w14:paraId="462ED25D" w14:textId="77777777" w:rsidTr="0008578A">
        <w:tc>
          <w:tcPr>
            <w:tcW w:w="918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52590A" w14:textId="77777777" w:rsidR="00D431B4" w:rsidRDefault="00D431B4" w:rsidP="009C3D67">
            <w:pPr>
              <w:spacing w:before="120" w:after="120" w:line="240" w:lineRule="exact"/>
              <w:rPr>
                <w:rFonts w:ascii="Candara" w:hAnsi="Candara"/>
                <w:b/>
              </w:rPr>
            </w:pPr>
            <w:r>
              <w:rPr>
                <w:rFonts w:ascii="Candara" w:hAnsi="Candara"/>
                <w:b/>
              </w:rPr>
              <w:t>Marine Protected Areas</w:t>
            </w:r>
          </w:p>
        </w:tc>
      </w:tr>
      <w:tr w:rsidR="00D431B4" w14:paraId="52EA3D16" w14:textId="77777777" w:rsidTr="0008578A">
        <w:tc>
          <w:tcPr>
            <w:tcW w:w="1044" w:type="dxa"/>
            <w:tcBorders>
              <w:top w:val="single" w:sz="4" w:space="0" w:color="auto"/>
              <w:left w:val="single" w:sz="4" w:space="0" w:color="auto"/>
              <w:bottom w:val="single" w:sz="4" w:space="0" w:color="auto"/>
            </w:tcBorders>
            <w:vAlign w:val="center"/>
          </w:tcPr>
          <w:p w14:paraId="0D490BAF" w14:textId="77777777" w:rsidR="00D431B4" w:rsidRDefault="00D431B4" w:rsidP="009C3D67">
            <w:pPr>
              <w:spacing w:before="120" w:after="120" w:line="240" w:lineRule="exact"/>
              <w:rPr>
                <w:rFonts w:ascii="Candara" w:hAnsi="Candara"/>
              </w:rPr>
            </w:pPr>
            <w:r>
              <w:rPr>
                <w:rFonts w:ascii="Candara" w:hAnsi="Candara"/>
              </w:rPr>
              <w:lastRenderedPageBreak/>
              <w:t xml:space="preserve">Goal 14.  </w:t>
            </w:r>
          </w:p>
        </w:tc>
        <w:tc>
          <w:tcPr>
            <w:tcW w:w="8136" w:type="dxa"/>
            <w:tcBorders>
              <w:top w:val="single" w:sz="4" w:space="0" w:color="auto"/>
              <w:bottom w:val="single" w:sz="4" w:space="0" w:color="auto"/>
              <w:right w:val="single" w:sz="4" w:space="0" w:color="auto"/>
            </w:tcBorders>
            <w:vAlign w:val="center"/>
          </w:tcPr>
          <w:p w14:paraId="46520081" w14:textId="77777777" w:rsidR="00D431B4" w:rsidRDefault="00D431B4" w:rsidP="009C3D67">
            <w:pPr>
              <w:spacing w:before="120" w:after="120" w:line="240" w:lineRule="exact"/>
              <w:rPr>
                <w:rFonts w:ascii="Candara" w:hAnsi="Candara"/>
              </w:rPr>
            </w:pPr>
            <w:r>
              <w:rPr>
                <w:rFonts w:ascii="Candara" w:hAnsi="Candara"/>
              </w:rPr>
              <w:t xml:space="preserve">Life below water: conserve and sustainably use the oceans, </w:t>
            </w:r>
            <w:proofErr w:type="gramStart"/>
            <w:r>
              <w:rPr>
                <w:rFonts w:ascii="Candara" w:hAnsi="Candara"/>
              </w:rPr>
              <w:t>seas</w:t>
            </w:r>
            <w:proofErr w:type="gramEnd"/>
            <w:r>
              <w:rPr>
                <w:rFonts w:ascii="Candara" w:hAnsi="Candara"/>
              </w:rPr>
              <w:t xml:space="preserve"> and marine resources for sustainable development, </w:t>
            </w:r>
            <w:r>
              <w:rPr>
                <w:rFonts w:ascii="Candara" w:hAnsi="Candara"/>
                <w:u w:val="single"/>
              </w:rPr>
              <w:t>sustainably manage and protect marine and coastal ecosystems</w:t>
            </w:r>
            <w:r>
              <w:rPr>
                <w:rFonts w:ascii="Candara" w:hAnsi="Candara"/>
              </w:rPr>
              <w:t xml:space="preserve"> to avoid significant adverse impacts</w:t>
            </w:r>
          </w:p>
        </w:tc>
      </w:tr>
      <w:tr w:rsidR="00D431B4" w14:paraId="65498735" w14:textId="77777777" w:rsidTr="0008578A">
        <w:tc>
          <w:tcPr>
            <w:tcW w:w="918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F36683A" w14:textId="77777777" w:rsidR="00D431B4" w:rsidRDefault="00D431B4" w:rsidP="009C3D67">
            <w:pPr>
              <w:spacing w:before="120" w:after="120" w:line="240" w:lineRule="exact"/>
              <w:rPr>
                <w:rFonts w:ascii="Candara" w:hAnsi="Candara"/>
                <w:b/>
              </w:rPr>
            </w:pPr>
            <w:r>
              <w:rPr>
                <w:rFonts w:ascii="Candara" w:hAnsi="Candara"/>
                <w:b/>
              </w:rPr>
              <w:t>Low Carbon City</w:t>
            </w:r>
          </w:p>
        </w:tc>
      </w:tr>
      <w:tr w:rsidR="00D431B4" w14:paraId="47C5F993" w14:textId="77777777" w:rsidTr="0008578A">
        <w:trPr>
          <w:trHeight w:val="750"/>
        </w:trPr>
        <w:tc>
          <w:tcPr>
            <w:tcW w:w="1044" w:type="dxa"/>
            <w:tcBorders>
              <w:top w:val="single" w:sz="4" w:space="0" w:color="auto"/>
              <w:left w:val="single" w:sz="4" w:space="0" w:color="auto"/>
              <w:bottom w:val="single" w:sz="4" w:space="0" w:color="auto"/>
            </w:tcBorders>
            <w:vAlign w:val="center"/>
          </w:tcPr>
          <w:p w14:paraId="50D4EC1F" w14:textId="77777777" w:rsidR="00D431B4" w:rsidRDefault="00D431B4" w:rsidP="009C3D67">
            <w:pPr>
              <w:spacing w:before="120" w:after="120" w:line="240" w:lineRule="exact"/>
              <w:rPr>
                <w:rFonts w:ascii="Candara" w:hAnsi="Candara"/>
              </w:rPr>
            </w:pPr>
            <w:r>
              <w:rPr>
                <w:rFonts w:ascii="Candara" w:hAnsi="Candara"/>
              </w:rPr>
              <w:t>Goal 11.</w:t>
            </w:r>
          </w:p>
        </w:tc>
        <w:tc>
          <w:tcPr>
            <w:tcW w:w="8136" w:type="dxa"/>
            <w:tcBorders>
              <w:top w:val="single" w:sz="4" w:space="0" w:color="auto"/>
              <w:bottom w:val="single" w:sz="4" w:space="0" w:color="auto"/>
              <w:right w:val="single" w:sz="4" w:space="0" w:color="auto"/>
            </w:tcBorders>
            <w:vAlign w:val="center"/>
          </w:tcPr>
          <w:p w14:paraId="1373425F" w14:textId="77777777" w:rsidR="00D431B4" w:rsidRDefault="00D431B4" w:rsidP="009C3D67">
            <w:pPr>
              <w:spacing w:before="120" w:after="120" w:line="240" w:lineRule="exact"/>
              <w:rPr>
                <w:rFonts w:ascii="Candara" w:hAnsi="Candara"/>
              </w:rPr>
            </w:pPr>
            <w:r>
              <w:rPr>
                <w:rFonts w:ascii="Candara" w:hAnsi="Candara"/>
              </w:rPr>
              <w:t xml:space="preserve">Sustainable Cities and Communities: </w:t>
            </w:r>
            <w:r>
              <w:rPr>
                <w:rFonts w:ascii="Candara" w:hAnsi="Candara"/>
                <w:u w:val="single"/>
              </w:rPr>
              <w:t>reduce the adverse per capita environmental impact of cities</w:t>
            </w:r>
            <w:r>
              <w:rPr>
                <w:rFonts w:ascii="Candara" w:hAnsi="Candara"/>
              </w:rPr>
              <w:t xml:space="preserve">, increase number of cities adopting integrated policies and plans towards inclusion, </w:t>
            </w:r>
            <w:r>
              <w:rPr>
                <w:rFonts w:ascii="Candara" w:hAnsi="Candara"/>
                <w:u w:val="single"/>
              </w:rPr>
              <w:t>resource efficiency</w:t>
            </w:r>
            <w:r>
              <w:rPr>
                <w:rFonts w:ascii="Candara" w:hAnsi="Candara"/>
              </w:rPr>
              <w:t xml:space="preserve">, </w:t>
            </w:r>
            <w:proofErr w:type="gramStart"/>
            <w:r>
              <w:rPr>
                <w:rFonts w:ascii="Candara" w:hAnsi="Candara"/>
                <w:u w:val="single"/>
              </w:rPr>
              <w:t>mitigation</w:t>
            </w:r>
            <w:proofErr w:type="gramEnd"/>
            <w:r>
              <w:rPr>
                <w:rFonts w:ascii="Candara" w:hAnsi="Candara"/>
                <w:u w:val="single"/>
              </w:rPr>
              <w:t xml:space="preserve"> and adaptation to climate change</w:t>
            </w:r>
            <w:r>
              <w:rPr>
                <w:rFonts w:ascii="Candara" w:hAnsi="Candara"/>
              </w:rPr>
              <w:t>…</w:t>
            </w:r>
          </w:p>
        </w:tc>
      </w:tr>
      <w:tr w:rsidR="00D431B4" w14:paraId="41609FB8" w14:textId="77777777" w:rsidTr="0008578A">
        <w:trPr>
          <w:trHeight w:val="750"/>
        </w:trPr>
        <w:tc>
          <w:tcPr>
            <w:tcW w:w="1044" w:type="dxa"/>
            <w:tcBorders>
              <w:top w:val="single" w:sz="4" w:space="0" w:color="auto"/>
              <w:left w:val="single" w:sz="4" w:space="0" w:color="auto"/>
              <w:bottom w:val="single" w:sz="4" w:space="0" w:color="auto"/>
            </w:tcBorders>
            <w:vAlign w:val="center"/>
          </w:tcPr>
          <w:p w14:paraId="110445AF" w14:textId="77777777" w:rsidR="00D431B4" w:rsidRDefault="00D431B4" w:rsidP="009C3D67">
            <w:pPr>
              <w:spacing w:before="120" w:after="120" w:line="240" w:lineRule="exact"/>
              <w:rPr>
                <w:rFonts w:ascii="Candara" w:hAnsi="Candara"/>
              </w:rPr>
            </w:pPr>
            <w:r>
              <w:rPr>
                <w:rFonts w:ascii="Candara" w:hAnsi="Candara"/>
              </w:rPr>
              <w:t xml:space="preserve">Goal 13.  </w:t>
            </w:r>
          </w:p>
        </w:tc>
        <w:tc>
          <w:tcPr>
            <w:tcW w:w="8136" w:type="dxa"/>
            <w:tcBorders>
              <w:top w:val="single" w:sz="4" w:space="0" w:color="auto"/>
              <w:bottom w:val="single" w:sz="4" w:space="0" w:color="auto"/>
              <w:right w:val="single" w:sz="4" w:space="0" w:color="auto"/>
            </w:tcBorders>
            <w:vAlign w:val="center"/>
          </w:tcPr>
          <w:p w14:paraId="6BF216C6" w14:textId="77777777" w:rsidR="00D431B4" w:rsidRDefault="00D431B4" w:rsidP="009C3D67">
            <w:pPr>
              <w:spacing w:before="120" w:after="120" w:line="240" w:lineRule="exact"/>
              <w:rPr>
                <w:rFonts w:ascii="Candara" w:hAnsi="Candara"/>
              </w:rPr>
            </w:pPr>
            <w:r>
              <w:rPr>
                <w:rFonts w:ascii="Candara" w:hAnsi="Candara"/>
              </w:rPr>
              <w:t xml:space="preserve">Climate Action: improve human and institutional capacity on </w:t>
            </w:r>
            <w:r>
              <w:rPr>
                <w:rFonts w:ascii="Candara" w:hAnsi="Candara"/>
                <w:u w:val="single"/>
              </w:rPr>
              <w:t>climate change mitigation, adaptation</w:t>
            </w:r>
            <w:r>
              <w:rPr>
                <w:rFonts w:ascii="Candara" w:hAnsi="Candara"/>
              </w:rPr>
              <w:t>, impact reduction and early warning</w:t>
            </w:r>
          </w:p>
        </w:tc>
      </w:tr>
      <w:tr w:rsidR="00D431B4" w14:paraId="4177BCC4" w14:textId="77777777" w:rsidTr="0008578A">
        <w:tc>
          <w:tcPr>
            <w:tcW w:w="918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DC1E00" w14:textId="77777777" w:rsidR="00D431B4" w:rsidRDefault="00D431B4" w:rsidP="009C3D67">
            <w:pPr>
              <w:spacing w:before="120" w:after="120" w:line="240" w:lineRule="exact"/>
              <w:rPr>
                <w:rFonts w:ascii="Candara" w:hAnsi="Candara"/>
                <w:b/>
              </w:rPr>
            </w:pPr>
            <w:r>
              <w:rPr>
                <w:rFonts w:ascii="Candara" w:hAnsi="Candara"/>
                <w:b/>
              </w:rPr>
              <w:t xml:space="preserve">Desertification and Land Degradation  </w:t>
            </w:r>
          </w:p>
        </w:tc>
      </w:tr>
      <w:tr w:rsidR="00D431B4" w14:paraId="56601A7C" w14:textId="77777777" w:rsidTr="0008578A">
        <w:tc>
          <w:tcPr>
            <w:tcW w:w="1044" w:type="dxa"/>
            <w:tcBorders>
              <w:top w:val="single" w:sz="4" w:space="0" w:color="auto"/>
              <w:left w:val="single" w:sz="4" w:space="0" w:color="auto"/>
              <w:bottom w:val="single" w:sz="4" w:space="0" w:color="auto"/>
            </w:tcBorders>
            <w:vAlign w:val="center"/>
          </w:tcPr>
          <w:p w14:paraId="29919215" w14:textId="77777777" w:rsidR="00D431B4" w:rsidRDefault="00D431B4" w:rsidP="009C3D67">
            <w:pPr>
              <w:spacing w:before="120" w:after="120" w:line="240" w:lineRule="exact"/>
              <w:rPr>
                <w:rFonts w:ascii="Candara" w:hAnsi="Candara"/>
              </w:rPr>
            </w:pPr>
            <w:r>
              <w:rPr>
                <w:rFonts w:ascii="Candara" w:hAnsi="Candara"/>
              </w:rPr>
              <w:t xml:space="preserve">Goal 15. </w:t>
            </w:r>
          </w:p>
        </w:tc>
        <w:tc>
          <w:tcPr>
            <w:tcW w:w="8136" w:type="dxa"/>
            <w:tcBorders>
              <w:top w:val="single" w:sz="4" w:space="0" w:color="auto"/>
              <w:bottom w:val="single" w:sz="4" w:space="0" w:color="auto"/>
              <w:right w:val="single" w:sz="4" w:space="0" w:color="auto"/>
            </w:tcBorders>
            <w:vAlign w:val="center"/>
          </w:tcPr>
          <w:p w14:paraId="509DF22A" w14:textId="77777777" w:rsidR="00D431B4" w:rsidRDefault="00D431B4" w:rsidP="009C3D67">
            <w:pPr>
              <w:spacing w:before="120" w:after="120" w:line="240" w:lineRule="exact"/>
              <w:rPr>
                <w:rFonts w:ascii="Candara" w:hAnsi="Candara"/>
              </w:rPr>
            </w:pPr>
            <w:r>
              <w:rPr>
                <w:rFonts w:ascii="Candara" w:hAnsi="Candara"/>
              </w:rPr>
              <w:t xml:space="preserve">Life on land:  protect, </w:t>
            </w:r>
            <w:proofErr w:type="gramStart"/>
            <w:r>
              <w:rPr>
                <w:rFonts w:ascii="Candara" w:hAnsi="Candara"/>
              </w:rPr>
              <w:t>restore</w:t>
            </w:r>
            <w:proofErr w:type="gramEnd"/>
            <w:r>
              <w:rPr>
                <w:rFonts w:ascii="Candara" w:hAnsi="Candara"/>
              </w:rPr>
              <w:t xml:space="preserve"> and promote sustainable use of terrestrial ecosystems, </w:t>
            </w:r>
            <w:r>
              <w:rPr>
                <w:rFonts w:ascii="Candara" w:hAnsi="Candara"/>
                <w:u w:val="single"/>
              </w:rPr>
              <w:t>sustainably manage forests</w:t>
            </w:r>
            <w:r>
              <w:rPr>
                <w:rFonts w:ascii="Candara" w:hAnsi="Candara"/>
              </w:rPr>
              <w:t xml:space="preserve">, </w:t>
            </w:r>
            <w:r>
              <w:rPr>
                <w:rFonts w:ascii="Candara" w:hAnsi="Candara"/>
                <w:u w:val="single"/>
              </w:rPr>
              <w:t>combat desertification</w:t>
            </w:r>
            <w:r>
              <w:rPr>
                <w:rFonts w:ascii="Candara" w:hAnsi="Candara"/>
              </w:rPr>
              <w:t xml:space="preserve">, and </w:t>
            </w:r>
            <w:r>
              <w:rPr>
                <w:rFonts w:ascii="Candara" w:hAnsi="Candara"/>
                <w:u w:val="single"/>
              </w:rPr>
              <w:t>halt and reverse land degradation</w:t>
            </w:r>
            <w:r>
              <w:rPr>
                <w:rFonts w:ascii="Candara" w:hAnsi="Candara"/>
              </w:rPr>
              <w:t xml:space="preserve"> and halt biodiversity loss</w:t>
            </w:r>
          </w:p>
        </w:tc>
      </w:tr>
    </w:tbl>
    <w:p w14:paraId="630237AD" w14:textId="77777777" w:rsidR="0008578A" w:rsidRDefault="0008578A" w:rsidP="00D431B4">
      <w:pPr>
        <w:rPr>
          <w:rFonts w:ascii="Book Antiqua" w:hAnsi="Book Antiqua"/>
          <w:b/>
        </w:rPr>
      </w:pPr>
    </w:p>
    <w:p w14:paraId="01F39133" w14:textId="77777777" w:rsidR="00D431B4" w:rsidRPr="00D9682B" w:rsidRDefault="00D431B4" w:rsidP="00D431B4">
      <w:pPr>
        <w:pStyle w:val="1"/>
        <w:numPr>
          <w:ilvl w:val="0"/>
          <w:numId w:val="11"/>
        </w:numPr>
        <w:spacing w:after="240"/>
        <w:ind w:left="630" w:hanging="630"/>
        <w:rPr>
          <w:rFonts w:ascii="Book Antiqua" w:hAnsi="Book Antiqua"/>
          <w:b/>
          <w:color w:val="0070C0"/>
          <w:sz w:val="24"/>
          <w:szCs w:val="24"/>
        </w:rPr>
      </w:pPr>
      <w:proofErr w:type="spellStart"/>
      <w:r w:rsidRPr="00D9682B">
        <w:rPr>
          <w:rFonts w:ascii="Book Antiqua" w:hAnsi="Book Antiqua"/>
          <w:b/>
          <w:color w:val="0070C0"/>
          <w:sz w:val="24"/>
          <w:szCs w:val="24"/>
        </w:rPr>
        <w:t>Subregional</w:t>
      </w:r>
      <w:proofErr w:type="spellEnd"/>
      <w:r w:rsidRPr="00D9682B">
        <w:rPr>
          <w:rFonts w:ascii="Book Antiqua" w:hAnsi="Book Antiqua"/>
          <w:b/>
          <w:color w:val="0070C0"/>
          <w:sz w:val="24"/>
          <w:szCs w:val="24"/>
        </w:rPr>
        <w:t xml:space="preserve"> Context of NEASPEC Work </w:t>
      </w:r>
    </w:p>
    <w:p w14:paraId="781604ED" w14:textId="77777777" w:rsidR="00D431B4" w:rsidRDefault="00D431B4" w:rsidP="00D431B4">
      <w:pPr>
        <w:pStyle w:val="1"/>
        <w:spacing w:after="240"/>
        <w:ind w:left="630"/>
        <w:rPr>
          <w:rFonts w:ascii="Book Antiqua" w:hAnsi="Book Antiqua"/>
          <w:b/>
          <w:color w:val="0070C0"/>
          <w:sz w:val="28"/>
          <w:szCs w:val="28"/>
        </w:rPr>
      </w:pPr>
    </w:p>
    <w:p w14:paraId="7FC7E92A" w14:textId="77777777" w:rsidR="00D431B4" w:rsidRPr="00F553F9" w:rsidRDefault="00D431B4" w:rsidP="00D431B4">
      <w:pPr>
        <w:pStyle w:val="1"/>
        <w:numPr>
          <w:ilvl w:val="1"/>
          <w:numId w:val="11"/>
        </w:numPr>
        <w:tabs>
          <w:tab w:val="left" w:pos="180"/>
        </w:tabs>
        <w:spacing w:after="240"/>
        <w:ind w:left="180" w:hanging="180"/>
        <w:rPr>
          <w:rFonts w:ascii="Book Antiqua" w:hAnsi="Book Antiqua"/>
          <w:b/>
        </w:rPr>
      </w:pPr>
      <w:r w:rsidRPr="00F553F9">
        <w:rPr>
          <w:rFonts w:ascii="Book Antiqua" w:hAnsi="Book Antiqua"/>
          <w:b/>
        </w:rPr>
        <w:t>Air Pollution</w:t>
      </w:r>
    </w:p>
    <w:p w14:paraId="3348E4C6" w14:textId="77777777" w:rsidR="00D431B4" w:rsidRDefault="00D431B4" w:rsidP="00D431B4">
      <w:pPr>
        <w:spacing w:after="240"/>
        <w:jc w:val="both"/>
        <w:rPr>
          <w:rFonts w:ascii="Book Antiqua" w:hAnsi="Book Antiqua"/>
        </w:rPr>
      </w:pPr>
      <w:r>
        <w:rPr>
          <w:rFonts w:ascii="Book Antiqua" w:hAnsi="Book Antiqua"/>
        </w:rPr>
        <w:t>Most NEASPEC member States have made significant progress in reducing sulfur oxide (</w:t>
      </w:r>
      <w:proofErr w:type="spellStart"/>
      <w:r>
        <w:rPr>
          <w:rFonts w:ascii="Book Antiqua" w:hAnsi="Book Antiqua"/>
        </w:rPr>
        <w:t>SO</w:t>
      </w:r>
      <w:r>
        <w:rPr>
          <w:rFonts w:ascii="Book Antiqua" w:hAnsi="Book Antiqua"/>
          <w:vertAlign w:val="subscript"/>
        </w:rPr>
        <w:t>x</w:t>
      </w:r>
      <w:proofErr w:type="spellEnd"/>
      <w:r>
        <w:rPr>
          <w:rFonts w:ascii="Book Antiqua" w:hAnsi="Book Antiqua"/>
        </w:rPr>
        <w:t>) with improved policy and technical responses, and most recently other pollutants including nitrogen oxide (NO</w:t>
      </w:r>
      <w:r>
        <w:rPr>
          <w:rFonts w:ascii="Book Antiqua" w:hAnsi="Book Antiqua"/>
          <w:vertAlign w:val="subscript"/>
        </w:rPr>
        <w:t>x</w:t>
      </w:r>
      <w:r>
        <w:rPr>
          <w:rFonts w:ascii="Book Antiqua" w:hAnsi="Book Antiqua"/>
        </w:rPr>
        <w:t>) and fine particulate matter (PM) while ground-level ozone is still increasing. While Japan has almost met the WHO standard by reducing the annual concentration of PM</w:t>
      </w:r>
      <w:r>
        <w:rPr>
          <w:rFonts w:ascii="Book Antiqua" w:hAnsi="Book Antiqua"/>
          <w:vertAlign w:val="subscript"/>
        </w:rPr>
        <w:t>2.5</w:t>
      </w:r>
      <w:r>
        <w:rPr>
          <w:rFonts w:ascii="Book Antiqua" w:hAnsi="Book Antiqua"/>
        </w:rPr>
        <w:t xml:space="preserve"> by over 60 percent from the early 2000s, other countries have recently intensified national actions as PM has been recognized as a key concern of public health. As such, countries have formulated comprehensive and bold action plans including “Air Pollution Prevention and Control Action Plan (2013 – 2017)” and “Three-year Action Plan for Winning the Blue-Sky War” (2018-2020) of China, National </w:t>
      </w:r>
      <w:proofErr w:type="spellStart"/>
      <w:r>
        <w:rPr>
          <w:rFonts w:ascii="Book Antiqua" w:hAnsi="Book Antiqua"/>
        </w:rPr>
        <w:t>Programme</w:t>
      </w:r>
      <w:proofErr w:type="spellEnd"/>
      <w:r>
        <w:rPr>
          <w:rFonts w:ascii="Book Antiqua" w:hAnsi="Book Antiqua"/>
        </w:rPr>
        <w:t xml:space="preserve"> for Reducing Air and Environmental Pollution (2017-2025) of Mongolia, and the Comprehensive Plan for the Management of the Particulate Matter (2020-2024) of the Republic of Korea. </w:t>
      </w:r>
    </w:p>
    <w:p w14:paraId="0E7D44CB" w14:textId="77777777" w:rsidR="00D431B4" w:rsidRDefault="00D431B4" w:rsidP="00D431B4">
      <w:pPr>
        <w:spacing w:after="240"/>
        <w:jc w:val="both"/>
        <w:rPr>
          <w:rFonts w:ascii="Book Antiqua" w:hAnsi="Book Antiqua"/>
        </w:rPr>
      </w:pPr>
      <w:r>
        <w:rPr>
          <w:rFonts w:ascii="Book Antiqua" w:hAnsi="Book Antiqua"/>
        </w:rPr>
        <w:t>China with the first Action Plan brought down the annual average of PM</w:t>
      </w:r>
      <w:r>
        <w:rPr>
          <w:rFonts w:ascii="Book Antiqua" w:hAnsi="Book Antiqua"/>
          <w:vertAlign w:val="subscript"/>
        </w:rPr>
        <w:t>2.5</w:t>
      </w:r>
      <w:r>
        <w:rPr>
          <w:rFonts w:ascii="Book Antiqua" w:hAnsi="Book Antiqua"/>
        </w:rPr>
        <w:t xml:space="preserve"> concentration in 74 pilot cities by 42 percent to 42μg/m</w:t>
      </w:r>
      <w:r>
        <w:rPr>
          <w:rFonts w:ascii="Book Antiqua" w:hAnsi="Book Antiqua"/>
          <w:vertAlign w:val="superscript"/>
        </w:rPr>
        <w:t>3</w:t>
      </w:r>
      <w:r>
        <w:rPr>
          <w:rFonts w:ascii="Book Antiqua" w:hAnsi="Book Antiqua"/>
        </w:rPr>
        <w:t>, and in Beijing by 43 percent to 51μg/m</w:t>
      </w:r>
      <w:r>
        <w:rPr>
          <w:rFonts w:ascii="Book Antiqua" w:hAnsi="Book Antiqua"/>
          <w:vertAlign w:val="superscript"/>
        </w:rPr>
        <w:t>3</w:t>
      </w:r>
      <w:r>
        <w:rPr>
          <w:rFonts w:ascii="Book Antiqua" w:hAnsi="Book Antiqua"/>
        </w:rPr>
        <w:t>.</w:t>
      </w:r>
      <w:r>
        <w:rPr>
          <w:rStyle w:val="FootnoteReference"/>
          <w:rFonts w:ascii="Book Antiqua" w:hAnsi="Book Antiqua"/>
        </w:rPr>
        <w:footnoteReference w:id="2"/>
      </w:r>
      <w:r>
        <w:rPr>
          <w:rFonts w:ascii="Book Antiqua" w:hAnsi="Book Antiqua"/>
        </w:rPr>
        <w:t xml:space="preserve"> Mongolia decreased the level of PM</w:t>
      </w:r>
      <w:r>
        <w:rPr>
          <w:rFonts w:ascii="Book Antiqua" w:hAnsi="Book Antiqua"/>
          <w:vertAlign w:val="subscript"/>
        </w:rPr>
        <w:t>2.5</w:t>
      </w:r>
      <w:r>
        <w:rPr>
          <w:rFonts w:ascii="Book Antiqua" w:hAnsi="Book Antiqua"/>
        </w:rPr>
        <w:t xml:space="preserve"> in Ulaanbaatar by 56% during 2016-2019  to 113μg/m</w:t>
      </w:r>
      <w:r>
        <w:rPr>
          <w:rFonts w:ascii="Book Antiqua" w:hAnsi="Book Antiqua"/>
          <w:vertAlign w:val="superscript"/>
        </w:rPr>
        <w:t>3</w:t>
      </w:r>
      <w:r>
        <w:rPr>
          <w:rFonts w:ascii="Book Antiqua" w:hAnsi="Book Antiqua"/>
        </w:rPr>
        <w:t xml:space="preserve"> particularly by intensive policy measures and compliances on cleaner fuels.</w:t>
      </w:r>
      <w:r>
        <w:rPr>
          <w:rStyle w:val="FootnoteReference"/>
          <w:rFonts w:ascii="Book Antiqua" w:hAnsi="Book Antiqua"/>
        </w:rPr>
        <w:footnoteReference w:id="3"/>
      </w:r>
      <w:r>
        <w:rPr>
          <w:rFonts w:ascii="Book Antiqua" w:hAnsi="Book Antiqua"/>
        </w:rPr>
        <w:t xml:space="preserve"> The ROK during 2015-2018 also reduced the level of PM</w:t>
      </w:r>
      <w:r>
        <w:rPr>
          <w:rFonts w:ascii="Book Antiqua" w:hAnsi="Book Antiqua"/>
          <w:vertAlign w:val="subscript"/>
        </w:rPr>
        <w:t xml:space="preserve">2.5 </w:t>
      </w:r>
      <w:r>
        <w:rPr>
          <w:rFonts w:ascii="Book Antiqua" w:hAnsi="Book Antiqua"/>
        </w:rPr>
        <w:t>by 11 percent to 23μg/m</w:t>
      </w:r>
      <w:r>
        <w:rPr>
          <w:rFonts w:ascii="Book Antiqua" w:hAnsi="Book Antiqua"/>
          <w:vertAlign w:val="superscript"/>
        </w:rPr>
        <w:t>3</w:t>
      </w:r>
      <w:r>
        <w:rPr>
          <w:rFonts w:ascii="Book Antiqua" w:hAnsi="Book Antiqua"/>
        </w:rPr>
        <w:t xml:space="preserve"> with almost identical trend in Seoul.</w:t>
      </w:r>
      <w:r>
        <w:rPr>
          <w:rStyle w:val="FootnoteReference"/>
          <w:rFonts w:ascii="Book Antiqua" w:hAnsi="Book Antiqua"/>
        </w:rPr>
        <w:footnoteReference w:id="4"/>
      </w:r>
      <w:r>
        <w:rPr>
          <w:rFonts w:ascii="Book Antiqua" w:hAnsi="Book Antiqua"/>
        </w:rPr>
        <w:t xml:space="preserve"> </w:t>
      </w:r>
      <w:r>
        <w:rPr>
          <w:rFonts w:ascii="Book Antiqua" w:hAnsi="Book Antiqua"/>
        </w:rPr>
        <w:lastRenderedPageBreak/>
        <w:t xml:space="preserve">The drastic decreases in air pollution, particularly, PM, starting from Japan to other countries indicate the significance of stringent policy and technical measure, effective enforcement, and new technology deployment. In addition, the most recent experience in China highlights the important role of extensive air quality monitoring network including large scale urban sky-earth-space integrated monitoring network, and the inventory of air pollution sources for scientific and accurate control of pollutants. </w:t>
      </w:r>
    </w:p>
    <w:p w14:paraId="76C4D072" w14:textId="77777777" w:rsidR="00D431B4" w:rsidRDefault="00D431B4" w:rsidP="00D431B4">
      <w:pPr>
        <w:spacing w:after="240"/>
        <w:jc w:val="both"/>
        <w:rPr>
          <w:rFonts w:ascii="Book Antiqua" w:hAnsi="Book Antiqua"/>
        </w:rPr>
      </w:pPr>
      <w:r>
        <w:rPr>
          <w:rFonts w:ascii="Book Antiqua" w:hAnsi="Book Antiqua"/>
        </w:rPr>
        <w:t>However, most countries still face challenges in compliance with national standards, whilst addressing new challenges such as the increasing trend of tropospheric ozone (O</w:t>
      </w:r>
      <w:r>
        <w:rPr>
          <w:rFonts w:ascii="Book Antiqua" w:hAnsi="Book Antiqua"/>
          <w:vertAlign w:val="subscript"/>
        </w:rPr>
        <w:t>3</w:t>
      </w:r>
      <w:r>
        <w:rPr>
          <w:rFonts w:ascii="Book Antiqua" w:hAnsi="Book Antiqua"/>
        </w:rPr>
        <w:t>), which is formed by a secondary photochemical process by ozone precursors, i.e. nitrogen oxides (NO</w:t>
      </w:r>
      <w:r>
        <w:rPr>
          <w:rFonts w:ascii="Book Antiqua" w:hAnsi="Book Antiqua"/>
          <w:vertAlign w:val="subscript"/>
        </w:rPr>
        <w:t>x</w:t>
      </w:r>
      <w:r>
        <w:rPr>
          <w:rFonts w:ascii="Book Antiqua" w:hAnsi="Book Antiqua"/>
        </w:rPr>
        <w:t>), carbon monoxide (CO) and volatile organic compounds (VOCs). The ineffective management of VOCs results in the increase of ozone while countries have reduced the NO</w:t>
      </w:r>
      <w:r>
        <w:rPr>
          <w:rFonts w:ascii="Book Antiqua" w:hAnsi="Book Antiqua"/>
          <w:vertAlign w:val="subscript"/>
        </w:rPr>
        <w:t>x</w:t>
      </w:r>
      <w:r>
        <w:rPr>
          <w:rFonts w:ascii="Book Antiqua" w:hAnsi="Book Antiqua"/>
        </w:rPr>
        <w:t xml:space="preserve"> emissions. </w:t>
      </w:r>
    </w:p>
    <w:p w14:paraId="777DA829" w14:textId="442FDE82" w:rsidR="00D431B4" w:rsidRDefault="00D431B4" w:rsidP="00D431B4">
      <w:pPr>
        <w:spacing w:after="240"/>
        <w:jc w:val="both"/>
        <w:rPr>
          <w:rFonts w:ascii="Book Antiqua" w:hAnsi="Book Antiqua"/>
        </w:rPr>
      </w:pPr>
      <w:r>
        <w:rPr>
          <w:rFonts w:ascii="Book Antiqua" w:hAnsi="Book Antiqua"/>
        </w:rPr>
        <w:t>With the increasing domestic actions and interests in international cooperation, NEASPEC member States launched the North-East Asia Clean Air Partnership (NEACAP) in 2018 to promote science-based, policy-oriented cooperation. Having PM, O</w:t>
      </w:r>
      <w:r>
        <w:rPr>
          <w:rFonts w:ascii="Book Antiqua" w:hAnsi="Book Antiqua"/>
          <w:vertAlign w:val="subscript"/>
        </w:rPr>
        <w:t>3</w:t>
      </w:r>
      <w:r>
        <w:rPr>
          <w:rFonts w:ascii="Book Antiqua" w:hAnsi="Book Antiqua"/>
        </w:rPr>
        <w:t xml:space="preserve"> and other relevant pollutants, including </w:t>
      </w:r>
      <w:proofErr w:type="spellStart"/>
      <w:r>
        <w:rPr>
          <w:rFonts w:ascii="Book Antiqua" w:hAnsi="Book Antiqua"/>
        </w:rPr>
        <w:t>SO</w:t>
      </w:r>
      <w:r>
        <w:rPr>
          <w:rFonts w:ascii="Book Antiqua" w:hAnsi="Book Antiqua"/>
          <w:vertAlign w:val="subscript"/>
        </w:rPr>
        <w:t>x</w:t>
      </w:r>
      <w:proofErr w:type="spellEnd"/>
      <w:r>
        <w:rPr>
          <w:rFonts w:ascii="Book Antiqua" w:hAnsi="Book Antiqua"/>
        </w:rPr>
        <w:t>, NO</w:t>
      </w:r>
      <w:r>
        <w:rPr>
          <w:rFonts w:ascii="Book Antiqua" w:hAnsi="Book Antiqua"/>
          <w:vertAlign w:val="subscript"/>
        </w:rPr>
        <w:t>x</w:t>
      </w:r>
      <w:r>
        <w:rPr>
          <w:rFonts w:ascii="Book Antiqua" w:hAnsi="Book Antiqua"/>
        </w:rPr>
        <w:t>, black carbon, ammonia (NH</w:t>
      </w:r>
      <w:r>
        <w:rPr>
          <w:rFonts w:ascii="Book Antiqua" w:hAnsi="Book Antiqua"/>
          <w:vertAlign w:val="subscript"/>
        </w:rPr>
        <w:t>3</w:t>
      </w:r>
      <w:r>
        <w:rPr>
          <w:rFonts w:ascii="Book Antiqua" w:hAnsi="Book Antiqua"/>
        </w:rPr>
        <w:t xml:space="preserve">) and VOCs as the target pollutants, NEACAP is expected to facilitate (a) exchanging relevant information and data , (b) coordinating with relevant mechanisms and synthesizing their results, and (c) proposing potential technical and policy measures </w:t>
      </w:r>
      <w:r>
        <w:rPr>
          <w:rFonts w:ascii="Book Antiqua" w:eastAsia="SimSun" w:hAnsi="Book Antiqua" w:hint="eastAsia"/>
          <w:lang w:eastAsia="zh-CN"/>
        </w:rPr>
        <w:t xml:space="preserve">to tackle air pollution. </w:t>
      </w:r>
      <w:r>
        <w:rPr>
          <w:rFonts w:ascii="Book Antiqua" w:hAnsi="Book Antiqua"/>
        </w:rPr>
        <w:t xml:space="preserve">  </w:t>
      </w:r>
    </w:p>
    <w:p w14:paraId="2AA92BC0" w14:textId="77777777" w:rsidR="00D431B4" w:rsidRDefault="00D431B4" w:rsidP="00D431B4">
      <w:pPr>
        <w:spacing w:after="240"/>
        <w:jc w:val="both"/>
        <w:rPr>
          <w:rFonts w:ascii="Book Antiqua" w:hAnsi="Book Antiqua"/>
        </w:rPr>
      </w:pPr>
      <w:r>
        <w:rPr>
          <w:rFonts w:ascii="Book Antiqua" w:hAnsi="Book Antiqua"/>
        </w:rPr>
        <w:t xml:space="preserve">NEACAP is also expected to contribute the collective contribution of the member States to regional cooperation on air pollution in Asia and the Pacific. The launching of NEACAP initiated the adoption of the ESCAP resolution 75/4. </w:t>
      </w:r>
      <w:r>
        <w:rPr>
          <w:rFonts w:ascii="Book Antiqua" w:hAnsi="Book Antiqua"/>
          <w:i/>
          <w:iCs/>
        </w:rPr>
        <w:t>Strengthening regional cooperation to tackle air pollution challenges in Asia and the Pacific</w:t>
      </w:r>
      <w:r>
        <w:rPr>
          <w:rStyle w:val="FootnoteReference"/>
          <w:rFonts w:ascii="Book Antiqua" w:hAnsi="Book Antiqua"/>
          <w:i/>
          <w:iCs/>
        </w:rPr>
        <w:footnoteReference w:id="5"/>
      </w:r>
      <w:r>
        <w:rPr>
          <w:rFonts w:ascii="Book Antiqua" w:hAnsi="Book Antiqua"/>
        </w:rPr>
        <w:t xml:space="preserve"> in 2019, which encourages ESCAP member States to engage region-wide cooperation on air pollution.  </w:t>
      </w:r>
    </w:p>
    <w:p w14:paraId="37002C28" w14:textId="77777777" w:rsidR="00D431B4" w:rsidRPr="00F553F9" w:rsidRDefault="00D431B4" w:rsidP="00D431B4">
      <w:pPr>
        <w:pStyle w:val="1"/>
        <w:snapToGrid w:val="0"/>
        <w:spacing w:after="120"/>
        <w:ind w:left="450"/>
        <w:jc w:val="both"/>
        <w:rPr>
          <w:rFonts w:ascii="Book Antiqua" w:hAnsi="Book Antiqua"/>
          <w:b/>
        </w:rPr>
      </w:pPr>
    </w:p>
    <w:p w14:paraId="1CAAD858" w14:textId="77777777" w:rsidR="00D431B4" w:rsidRPr="00C951BD" w:rsidRDefault="00D431B4" w:rsidP="00D431B4">
      <w:pPr>
        <w:pStyle w:val="1"/>
        <w:numPr>
          <w:ilvl w:val="1"/>
          <w:numId w:val="11"/>
        </w:numPr>
        <w:tabs>
          <w:tab w:val="left" w:pos="180"/>
        </w:tabs>
        <w:spacing w:after="240"/>
        <w:ind w:left="180" w:hanging="180"/>
        <w:rPr>
          <w:rFonts w:ascii="Book Antiqua" w:hAnsi="Book Antiqua"/>
          <w:b/>
        </w:rPr>
      </w:pPr>
      <w:r w:rsidRPr="00C951BD">
        <w:rPr>
          <w:rFonts w:ascii="Book Antiqua" w:hAnsi="Book Antiqua"/>
          <w:b/>
        </w:rPr>
        <w:t xml:space="preserve">Biodiversity and Nature Conservation  </w:t>
      </w:r>
    </w:p>
    <w:p w14:paraId="613A6B54" w14:textId="32D16777" w:rsidR="00D431B4" w:rsidRDefault="00D431B4" w:rsidP="00D431B4">
      <w:pPr>
        <w:spacing w:after="0" w:line="300" w:lineRule="exact"/>
        <w:jc w:val="both"/>
        <w:rPr>
          <w:rFonts w:ascii="Book Antiqua" w:hAnsi="Book Antiqua" w:cs="Tahoma"/>
        </w:rPr>
      </w:pPr>
      <w:r>
        <w:rPr>
          <w:rFonts w:ascii="Book Antiqua" w:hAnsi="Book Antiqua" w:cs="Tahoma"/>
          <w:i/>
        </w:rPr>
        <w:t>The Regional Assessment Report on Biodiversity and Ecosystem Services for Asia and the Pacific</w:t>
      </w:r>
      <w:r>
        <w:rPr>
          <w:rFonts w:ascii="Book Antiqua" w:hAnsi="Book Antiqua" w:cs="Tahoma"/>
        </w:rPr>
        <w:t xml:space="preserve"> in 2018 by the Intergovernmental Science-Policy Platform on Biodiversity and Ecosystem Services (IPBES) noted the progress in forest management and protected area expansion and management in North-East Asia,</w:t>
      </w:r>
      <w:r>
        <w:rPr>
          <w:rStyle w:val="FootnoteReference"/>
          <w:rFonts w:ascii="Book Antiqua" w:hAnsi="Book Antiqua"/>
        </w:rPr>
        <w:footnoteReference w:id="6"/>
      </w:r>
      <w:r>
        <w:rPr>
          <w:rFonts w:ascii="Book Antiqua" w:hAnsi="Book Antiqua" w:cs="Tahoma"/>
        </w:rPr>
        <w:t xml:space="preserve"> benefiting both biodiversity and nature’s contributions to people. NASA satellite data during 2000-2017 showed the contribution of North-East Asia, particularly China, to the expansion of the global green leaf area which increased by 5 percent. China accounted for 25 percent of the global net increase in green leaf area.</w:t>
      </w:r>
      <w:r>
        <w:rPr>
          <w:rStyle w:val="FootnoteReference"/>
          <w:rFonts w:ascii="Book Antiqua" w:hAnsi="Book Antiqua"/>
        </w:rPr>
        <w:footnoteReference w:id="7"/>
      </w:r>
      <w:r>
        <w:rPr>
          <w:rFonts w:ascii="Book Antiqua" w:hAnsi="Book Antiqua" w:cs="Tahoma"/>
        </w:rPr>
        <w:t xml:space="preserve"> However, significant land use changes associated with economic development and demographic change in North-East Asia have resulted in 36 percent of endemic species to face extinction risk.</w:t>
      </w:r>
      <w:r>
        <w:rPr>
          <w:rStyle w:val="FootnoteReference"/>
          <w:rFonts w:ascii="Book Antiqua" w:hAnsi="Book Antiqua"/>
        </w:rPr>
        <w:footnoteReference w:id="8"/>
      </w:r>
      <w:r>
        <w:rPr>
          <w:rFonts w:ascii="Book Antiqua" w:hAnsi="Book Antiqua" w:cs="Tahoma"/>
        </w:rPr>
        <w:t xml:space="preserve"> The </w:t>
      </w:r>
      <w:r>
        <w:rPr>
          <w:rFonts w:ascii="Book Antiqua" w:hAnsi="Book Antiqua" w:cs="Tahoma"/>
        </w:rPr>
        <w:lastRenderedPageBreak/>
        <w:t>IUCN Red List</w:t>
      </w:r>
      <w:r>
        <w:rPr>
          <w:rStyle w:val="FootnoteReference"/>
          <w:rFonts w:ascii="Book Antiqua" w:hAnsi="Book Antiqua"/>
        </w:rPr>
        <w:footnoteReference w:id="9"/>
      </w:r>
      <w:r>
        <w:rPr>
          <w:rFonts w:ascii="Book Antiqua" w:hAnsi="Book Antiqua" w:cs="Tahoma"/>
        </w:rPr>
        <w:t xml:space="preserve"> (Table 2) indicates the large number of threatened species (Critically Endangered, Endangered and Vulnerable categories) in North-East Asia, of which 8.38 percent of total animals are classified under threatened species.  </w:t>
      </w:r>
    </w:p>
    <w:p w14:paraId="19345AAC" w14:textId="77777777" w:rsidR="00D431B4" w:rsidRDefault="00D431B4" w:rsidP="00D431B4">
      <w:pPr>
        <w:spacing w:after="0" w:line="300" w:lineRule="exact"/>
        <w:jc w:val="both"/>
        <w:rPr>
          <w:rFonts w:ascii="Book Antiqua" w:hAnsi="Book Antiqua" w:cs="Tahoma"/>
        </w:rPr>
      </w:pPr>
    </w:p>
    <w:p w14:paraId="08873435" w14:textId="77777777" w:rsidR="00D431B4" w:rsidRPr="00EF7627" w:rsidRDefault="00D431B4" w:rsidP="00D431B4">
      <w:pPr>
        <w:spacing w:after="120" w:line="300" w:lineRule="exact"/>
        <w:jc w:val="center"/>
        <w:rPr>
          <w:rFonts w:ascii="Candara" w:hAnsi="Candara" w:cs="Tahoma"/>
          <w:b/>
          <w:bCs/>
        </w:rPr>
      </w:pPr>
      <w:r w:rsidRPr="00EF7627">
        <w:rPr>
          <w:rFonts w:ascii="Candara" w:hAnsi="Candara" w:cs="Tahoma"/>
          <w:b/>
          <w:bCs/>
        </w:rPr>
        <w:t>Table 2. IUCN Red List: Threatened Species in Each Country</w:t>
      </w:r>
    </w:p>
    <w:tbl>
      <w:tblPr>
        <w:tblStyle w:val="TableGrid"/>
        <w:tblW w:w="10170" w:type="dxa"/>
        <w:tblInd w:w="-275" w:type="dxa"/>
        <w:tblLayout w:type="fixed"/>
        <w:tblLook w:val="04A0" w:firstRow="1" w:lastRow="0" w:firstColumn="1" w:lastColumn="0" w:noHBand="0" w:noVBand="1"/>
      </w:tblPr>
      <w:tblGrid>
        <w:gridCol w:w="1080"/>
        <w:gridCol w:w="990"/>
        <w:gridCol w:w="630"/>
        <w:gridCol w:w="990"/>
        <w:gridCol w:w="1170"/>
        <w:gridCol w:w="810"/>
        <w:gridCol w:w="990"/>
        <w:gridCol w:w="900"/>
        <w:gridCol w:w="810"/>
        <w:gridCol w:w="1080"/>
        <w:gridCol w:w="720"/>
      </w:tblGrid>
      <w:tr w:rsidR="00EF7627" w14:paraId="0B687D9C" w14:textId="77777777" w:rsidTr="00E86C16">
        <w:tc>
          <w:tcPr>
            <w:tcW w:w="1080" w:type="dxa"/>
          </w:tcPr>
          <w:p w14:paraId="45EA7FD0" w14:textId="77777777" w:rsidR="00D431B4" w:rsidRDefault="00D431B4" w:rsidP="009C3D67">
            <w:pPr>
              <w:rPr>
                <w:rFonts w:ascii="Candara" w:hAnsi="Candara" w:cs="Calibri"/>
                <w:b/>
                <w:bCs/>
                <w:sz w:val="18"/>
                <w:szCs w:val="18"/>
              </w:rPr>
            </w:pPr>
            <w:r>
              <w:rPr>
                <w:rFonts w:ascii="Candara" w:hAnsi="Candara" w:cs="Calibri"/>
                <w:b/>
                <w:bCs/>
                <w:sz w:val="18"/>
                <w:szCs w:val="18"/>
              </w:rPr>
              <w:t>Country</w:t>
            </w:r>
          </w:p>
        </w:tc>
        <w:tc>
          <w:tcPr>
            <w:tcW w:w="990" w:type="dxa"/>
          </w:tcPr>
          <w:p w14:paraId="50362EFF" w14:textId="77777777" w:rsidR="00D431B4" w:rsidRDefault="00D431B4" w:rsidP="009C3D67">
            <w:pPr>
              <w:rPr>
                <w:rFonts w:ascii="Candara" w:hAnsi="Candara" w:cs="Calibri"/>
                <w:b/>
                <w:bCs/>
                <w:sz w:val="18"/>
                <w:szCs w:val="18"/>
              </w:rPr>
            </w:pPr>
            <w:r>
              <w:rPr>
                <w:rFonts w:ascii="Candara" w:hAnsi="Candara" w:cs="Calibri"/>
                <w:b/>
                <w:bCs/>
                <w:sz w:val="18"/>
                <w:szCs w:val="18"/>
              </w:rPr>
              <w:t>Mammals</w:t>
            </w:r>
          </w:p>
        </w:tc>
        <w:tc>
          <w:tcPr>
            <w:tcW w:w="630" w:type="dxa"/>
          </w:tcPr>
          <w:p w14:paraId="49B5BDB5" w14:textId="77777777" w:rsidR="00D431B4" w:rsidRDefault="00D431B4" w:rsidP="009C3D67">
            <w:pPr>
              <w:rPr>
                <w:rFonts w:ascii="Candara" w:hAnsi="Candara" w:cs="Calibri"/>
                <w:b/>
                <w:bCs/>
                <w:sz w:val="18"/>
                <w:szCs w:val="18"/>
              </w:rPr>
            </w:pPr>
            <w:r>
              <w:rPr>
                <w:rFonts w:ascii="Candara" w:hAnsi="Candara" w:cs="Calibri"/>
                <w:b/>
                <w:bCs/>
                <w:sz w:val="18"/>
                <w:szCs w:val="18"/>
              </w:rPr>
              <w:t>Birds</w:t>
            </w:r>
          </w:p>
        </w:tc>
        <w:tc>
          <w:tcPr>
            <w:tcW w:w="990" w:type="dxa"/>
          </w:tcPr>
          <w:p w14:paraId="5C3BB71F" w14:textId="77777777" w:rsidR="00D431B4" w:rsidRDefault="00D431B4" w:rsidP="009C3D67">
            <w:pPr>
              <w:rPr>
                <w:rFonts w:ascii="Candara" w:hAnsi="Candara" w:cs="Calibri"/>
                <w:b/>
                <w:bCs/>
                <w:sz w:val="18"/>
                <w:szCs w:val="18"/>
              </w:rPr>
            </w:pPr>
            <w:r>
              <w:rPr>
                <w:rFonts w:ascii="Candara" w:hAnsi="Candara" w:cs="Calibri"/>
                <w:b/>
                <w:bCs/>
                <w:sz w:val="18"/>
                <w:szCs w:val="18"/>
              </w:rPr>
              <w:t>Reptiles*</w:t>
            </w:r>
          </w:p>
        </w:tc>
        <w:tc>
          <w:tcPr>
            <w:tcW w:w="1170" w:type="dxa"/>
          </w:tcPr>
          <w:p w14:paraId="79ED0F74" w14:textId="77777777" w:rsidR="00D431B4" w:rsidRDefault="00D431B4" w:rsidP="009C3D67">
            <w:pPr>
              <w:rPr>
                <w:rFonts w:ascii="Candara" w:hAnsi="Candara" w:cs="Calibri"/>
                <w:b/>
                <w:bCs/>
                <w:sz w:val="18"/>
                <w:szCs w:val="18"/>
              </w:rPr>
            </w:pPr>
            <w:r>
              <w:rPr>
                <w:rFonts w:ascii="Candara" w:hAnsi="Candara" w:cs="Calibri"/>
                <w:b/>
                <w:bCs/>
                <w:sz w:val="18"/>
                <w:szCs w:val="18"/>
              </w:rPr>
              <w:t>Amphibians</w:t>
            </w:r>
          </w:p>
        </w:tc>
        <w:tc>
          <w:tcPr>
            <w:tcW w:w="810" w:type="dxa"/>
          </w:tcPr>
          <w:p w14:paraId="1676C443" w14:textId="77777777" w:rsidR="00D431B4" w:rsidRDefault="00D431B4" w:rsidP="009C3D67">
            <w:pPr>
              <w:rPr>
                <w:rFonts w:ascii="Candara" w:hAnsi="Candara" w:cs="Calibri"/>
                <w:b/>
                <w:bCs/>
                <w:sz w:val="18"/>
                <w:szCs w:val="18"/>
              </w:rPr>
            </w:pPr>
            <w:r>
              <w:rPr>
                <w:rFonts w:ascii="Candara" w:hAnsi="Candara" w:cs="Calibri"/>
                <w:b/>
                <w:bCs/>
                <w:sz w:val="18"/>
                <w:szCs w:val="18"/>
              </w:rPr>
              <w:t>Fishes*</w:t>
            </w:r>
          </w:p>
        </w:tc>
        <w:tc>
          <w:tcPr>
            <w:tcW w:w="990" w:type="dxa"/>
          </w:tcPr>
          <w:p w14:paraId="65540033" w14:textId="77777777" w:rsidR="00D431B4" w:rsidRDefault="00D431B4" w:rsidP="009C3D67">
            <w:pPr>
              <w:rPr>
                <w:rFonts w:ascii="Candara" w:hAnsi="Candara" w:cs="Calibri"/>
                <w:b/>
                <w:bCs/>
                <w:sz w:val="18"/>
                <w:szCs w:val="18"/>
              </w:rPr>
            </w:pPr>
            <w:proofErr w:type="spellStart"/>
            <w:r>
              <w:rPr>
                <w:rFonts w:ascii="Candara" w:hAnsi="Candara" w:cs="Calibri"/>
                <w:b/>
                <w:bCs/>
                <w:sz w:val="18"/>
                <w:szCs w:val="18"/>
              </w:rPr>
              <w:t>Molluscs</w:t>
            </w:r>
            <w:proofErr w:type="spellEnd"/>
            <w:r>
              <w:rPr>
                <w:rFonts w:ascii="Candara" w:hAnsi="Candara" w:cs="Calibri"/>
                <w:b/>
                <w:bCs/>
                <w:sz w:val="18"/>
                <w:szCs w:val="18"/>
              </w:rPr>
              <w:t>*</w:t>
            </w:r>
          </w:p>
        </w:tc>
        <w:tc>
          <w:tcPr>
            <w:tcW w:w="900" w:type="dxa"/>
          </w:tcPr>
          <w:p w14:paraId="629897C4" w14:textId="77777777" w:rsidR="00D431B4" w:rsidRDefault="00D431B4" w:rsidP="009C3D67">
            <w:pPr>
              <w:rPr>
                <w:rFonts w:ascii="Candara" w:hAnsi="Candara" w:cs="Calibri"/>
                <w:b/>
                <w:bCs/>
                <w:sz w:val="18"/>
                <w:szCs w:val="18"/>
              </w:rPr>
            </w:pPr>
            <w:r>
              <w:rPr>
                <w:rFonts w:ascii="Candara" w:hAnsi="Candara" w:cs="Calibri"/>
                <w:b/>
                <w:bCs/>
                <w:sz w:val="18"/>
                <w:szCs w:val="18"/>
              </w:rPr>
              <w:t>Other Inverts*</w:t>
            </w:r>
          </w:p>
        </w:tc>
        <w:tc>
          <w:tcPr>
            <w:tcW w:w="810" w:type="dxa"/>
          </w:tcPr>
          <w:p w14:paraId="130321FB" w14:textId="77777777" w:rsidR="00D431B4" w:rsidRDefault="00D431B4" w:rsidP="009C3D67">
            <w:pPr>
              <w:rPr>
                <w:rFonts w:ascii="Candara" w:hAnsi="Candara" w:cs="Calibri"/>
                <w:b/>
                <w:bCs/>
                <w:sz w:val="18"/>
                <w:szCs w:val="18"/>
              </w:rPr>
            </w:pPr>
            <w:r>
              <w:rPr>
                <w:rFonts w:ascii="Candara" w:hAnsi="Candara" w:cs="Calibri"/>
                <w:b/>
                <w:bCs/>
                <w:sz w:val="18"/>
                <w:szCs w:val="18"/>
              </w:rPr>
              <w:t>Plants*</w:t>
            </w:r>
          </w:p>
        </w:tc>
        <w:tc>
          <w:tcPr>
            <w:tcW w:w="1080" w:type="dxa"/>
          </w:tcPr>
          <w:p w14:paraId="7A3B639C" w14:textId="77777777" w:rsidR="00D431B4" w:rsidRDefault="00D431B4" w:rsidP="009C3D67">
            <w:pPr>
              <w:rPr>
                <w:rFonts w:ascii="Candara" w:hAnsi="Candara" w:cs="Calibri"/>
                <w:b/>
                <w:bCs/>
                <w:sz w:val="18"/>
                <w:szCs w:val="18"/>
              </w:rPr>
            </w:pPr>
            <w:r>
              <w:rPr>
                <w:rFonts w:ascii="Candara" w:hAnsi="Candara" w:cs="Calibri"/>
                <w:b/>
                <w:bCs/>
                <w:sz w:val="18"/>
                <w:szCs w:val="18"/>
              </w:rPr>
              <w:t>Fungi &amp; Protists*</w:t>
            </w:r>
          </w:p>
        </w:tc>
        <w:tc>
          <w:tcPr>
            <w:tcW w:w="720" w:type="dxa"/>
          </w:tcPr>
          <w:p w14:paraId="5369582C" w14:textId="77777777" w:rsidR="00D431B4" w:rsidRDefault="00D431B4" w:rsidP="009C3D67">
            <w:pPr>
              <w:rPr>
                <w:rFonts w:ascii="Candara" w:hAnsi="Candara" w:cs="Calibri"/>
                <w:b/>
                <w:bCs/>
                <w:sz w:val="18"/>
                <w:szCs w:val="18"/>
              </w:rPr>
            </w:pPr>
            <w:r>
              <w:rPr>
                <w:rFonts w:ascii="Candara" w:hAnsi="Candara" w:cs="Calibri"/>
                <w:b/>
                <w:bCs/>
                <w:sz w:val="18"/>
                <w:szCs w:val="18"/>
              </w:rPr>
              <w:t>Total*</w:t>
            </w:r>
          </w:p>
        </w:tc>
      </w:tr>
      <w:tr w:rsidR="00EF7627" w14:paraId="0176DCA6" w14:textId="77777777" w:rsidTr="00E86C16">
        <w:tc>
          <w:tcPr>
            <w:tcW w:w="1080" w:type="dxa"/>
          </w:tcPr>
          <w:p w14:paraId="42A7732F" w14:textId="77777777" w:rsidR="00D431B4" w:rsidRDefault="00D431B4" w:rsidP="009C3D67">
            <w:pPr>
              <w:rPr>
                <w:rFonts w:ascii="Candara" w:hAnsi="Candara" w:cs="Calibri"/>
                <w:b/>
                <w:bCs/>
                <w:sz w:val="18"/>
                <w:szCs w:val="18"/>
              </w:rPr>
            </w:pPr>
            <w:r>
              <w:rPr>
                <w:rFonts w:ascii="Candara" w:hAnsi="Candara" w:cs="Calibri"/>
                <w:b/>
                <w:bCs/>
                <w:sz w:val="18"/>
                <w:szCs w:val="18"/>
              </w:rPr>
              <w:t>China</w:t>
            </w:r>
          </w:p>
        </w:tc>
        <w:tc>
          <w:tcPr>
            <w:tcW w:w="990" w:type="dxa"/>
          </w:tcPr>
          <w:p w14:paraId="2CFA9DAE" w14:textId="77777777" w:rsidR="00D431B4" w:rsidRDefault="00D431B4" w:rsidP="009C3D67">
            <w:pPr>
              <w:jc w:val="right"/>
              <w:rPr>
                <w:rFonts w:ascii="Candara" w:hAnsi="Candara" w:cs="Calibri"/>
                <w:sz w:val="20"/>
                <w:szCs w:val="20"/>
              </w:rPr>
            </w:pPr>
            <w:r>
              <w:rPr>
                <w:rFonts w:ascii="Candara" w:hAnsi="Candara" w:cs="Calibri"/>
                <w:sz w:val="20"/>
                <w:szCs w:val="20"/>
              </w:rPr>
              <w:t>74</w:t>
            </w:r>
          </w:p>
        </w:tc>
        <w:tc>
          <w:tcPr>
            <w:tcW w:w="630" w:type="dxa"/>
          </w:tcPr>
          <w:p w14:paraId="257FDA41" w14:textId="77777777" w:rsidR="00D431B4" w:rsidRDefault="00D431B4" w:rsidP="009C3D67">
            <w:pPr>
              <w:jc w:val="right"/>
              <w:rPr>
                <w:rFonts w:ascii="Candara" w:hAnsi="Candara" w:cs="Calibri"/>
                <w:sz w:val="20"/>
                <w:szCs w:val="20"/>
              </w:rPr>
            </w:pPr>
            <w:r>
              <w:rPr>
                <w:rFonts w:ascii="Candara" w:hAnsi="Candara" w:cs="Calibri"/>
                <w:sz w:val="20"/>
                <w:szCs w:val="20"/>
              </w:rPr>
              <w:t>96</w:t>
            </w:r>
          </w:p>
        </w:tc>
        <w:tc>
          <w:tcPr>
            <w:tcW w:w="990" w:type="dxa"/>
          </w:tcPr>
          <w:p w14:paraId="34E4B260" w14:textId="77777777" w:rsidR="00D431B4" w:rsidRDefault="00D431B4" w:rsidP="009C3D67">
            <w:pPr>
              <w:jc w:val="right"/>
              <w:rPr>
                <w:rFonts w:ascii="Candara" w:hAnsi="Candara" w:cs="Calibri"/>
                <w:sz w:val="20"/>
                <w:szCs w:val="20"/>
              </w:rPr>
            </w:pPr>
            <w:r>
              <w:rPr>
                <w:rFonts w:ascii="Candara" w:hAnsi="Candara" w:cs="Calibri"/>
                <w:sz w:val="20"/>
                <w:szCs w:val="20"/>
              </w:rPr>
              <w:t>47</w:t>
            </w:r>
          </w:p>
        </w:tc>
        <w:tc>
          <w:tcPr>
            <w:tcW w:w="1170" w:type="dxa"/>
          </w:tcPr>
          <w:p w14:paraId="449BE0A5" w14:textId="77777777" w:rsidR="00D431B4" w:rsidRDefault="00D431B4" w:rsidP="009C3D67">
            <w:pPr>
              <w:jc w:val="right"/>
              <w:rPr>
                <w:rFonts w:ascii="Candara" w:hAnsi="Candara" w:cs="Calibri"/>
                <w:sz w:val="20"/>
                <w:szCs w:val="20"/>
              </w:rPr>
            </w:pPr>
            <w:r>
              <w:rPr>
                <w:rFonts w:ascii="Candara" w:hAnsi="Candara" w:cs="Calibri"/>
                <w:sz w:val="20"/>
                <w:szCs w:val="20"/>
              </w:rPr>
              <w:t>88</w:t>
            </w:r>
          </w:p>
        </w:tc>
        <w:tc>
          <w:tcPr>
            <w:tcW w:w="810" w:type="dxa"/>
          </w:tcPr>
          <w:p w14:paraId="2B05F6A1" w14:textId="77777777" w:rsidR="00D431B4" w:rsidRDefault="00D431B4" w:rsidP="009C3D67">
            <w:pPr>
              <w:jc w:val="right"/>
              <w:rPr>
                <w:rFonts w:ascii="Candara" w:hAnsi="Candara" w:cs="Calibri"/>
                <w:sz w:val="20"/>
                <w:szCs w:val="20"/>
              </w:rPr>
            </w:pPr>
            <w:r>
              <w:rPr>
                <w:rFonts w:ascii="Candara" w:hAnsi="Candara" w:cs="Calibri"/>
                <w:sz w:val="20"/>
                <w:szCs w:val="20"/>
              </w:rPr>
              <w:t>146</w:t>
            </w:r>
          </w:p>
        </w:tc>
        <w:tc>
          <w:tcPr>
            <w:tcW w:w="990" w:type="dxa"/>
          </w:tcPr>
          <w:p w14:paraId="1ED34C6B" w14:textId="77777777" w:rsidR="00D431B4" w:rsidRDefault="00D431B4" w:rsidP="009C3D67">
            <w:pPr>
              <w:jc w:val="right"/>
              <w:rPr>
                <w:rFonts w:ascii="Candara" w:hAnsi="Candara" w:cs="Calibri"/>
                <w:sz w:val="20"/>
                <w:szCs w:val="20"/>
              </w:rPr>
            </w:pPr>
            <w:r>
              <w:rPr>
                <w:rFonts w:ascii="Candara" w:hAnsi="Candara" w:cs="Calibri"/>
                <w:sz w:val="20"/>
                <w:szCs w:val="20"/>
              </w:rPr>
              <w:t>15</w:t>
            </w:r>
          </w:p>
        </w:tc>
        <w:tc>
          <w:tcPr>
            <w:tcW w:w="900" w:type="dxa"/>
          </w:tcPr>
          <w:p w14:paraId="2B2754C0" w14:textId="77777777" w:rsidR="00D431B4" w:rsidRDefault="00D431B4" w:rsidP="009C3D67">
            <w:pPr>
              <w:jc w:val="right"/>
              <w:rPr>
                <w:rFonts w:ascii="Candara" w:hAnsi="Candara" w:cs="Calibri"/>
                <w:sz w:val="20"/>
                <w:szCs w:val="20"/>
              </w:rPr>
            </w:pPr>
            <w:r>
              <w:rPr>
                <w:rFonts w:ascii="Candara" w:hAnsi="Candara" w:cs="Calibri"/>
                <w:sz w:val="20"/>
                <w:szCs w:val="20"/>
              </w:rPr>
              <w:t>69</w:t>
            </w:r>
          </w:p>
        </w:tc>
        <w:tc>
          <w:tcPr>
            <w:tcW w:w="810" w:type="dxa"/>
          </w:tcPr>
          <w:p w14:paraId="1EEB2637" w14:textId="77777777" w:rsidR="00D431B4" w:rsidRDefault="00D431B4" w:rsidP="009C3D67">
            <w:pPr>
              <w:jc w:val="right"/>
              <w:rPr>
                <w:rFonts w:ascii="Candara" w:hAnsi="Candara" w:cs="Calibri"/>
                <w:sz w:val="20"/>
                <w:szCs w:val="20"/>
              </w:rPr>
            </w:pPr>
            <w:r>
              <w:rPr>
                <w:rFonts w:ascii="Candara" w:hAnsi="Candara" w:cs="Calibri"/>
                <w:sz w:val="20"/>
                <w:szCs w:val="20"/>
              </w:rPr>
              <w:t>631</w:t>
            </w:r>
          </w:p>
        </w:tc>
        <w:tc>
          <w:tcPr>
            <w:tcW w:w="1080" w:type="dxa"/>
          </w:tcPr>
          <w:p w14:paraId="3E25C500" w14:textId="77777777" w:rsidR="00D431B4" w:rsidRDefault="00D431B4" w:rsidP="009C3D67">
            <w:pPr>
              <w:jc w:val="right"/>
              <w:rPr>
                <w:rFonts w:ascii="Candara" w:hAnsi="Candara" w:cs="Calibri"/>
                <w:sz w:val="20"/>
                <w:szCs w:val="20"/>
              </w:rPr>
            </w:pPr>
            <w:r>
              <w:rPr>
                <w:rFonts w:ascii="Candara" w:hAnsi="Candara" w:cs="Calibri"/>
                <w:sz w:val="20"/>
                <w:szCs w:val="20"/>
              </w:rPr>
              <w:t>6</w:t>
            </w:r>
          </w:p>
        </w:tc>
        <w:tc>
          <w:tcPr>
            <w:tcW w:w="720" w:type="dxa"/>
          </w:tcPr>
          <w:p w14:paraId="4A03739B" w14:textId="77777777" w:rsidR="00D431B4" w:rsidRDefault="00D431B4" w:rsidP="009C3D67">
            <w:pPr>
              <w:jc w:val="right"/>
              <w:rPr>
                <w:rFonts w:ascii="Candara" w:hAnsi="Candara" w:cs="Calibri"/>
                <w:sz w:val="20"/>
                <w:szCs w:val="20"/>
              </w:rPr>
            </w:pPr>
            <w:r>
              <w:rPr>
                <w:rFonts w:ascii="Candara" w:hAnsi="Candara" w:cs="Calibri"/>
                <w:sz w:val="20"/>
                <w:szCs w:val="20"/>
              </w:rPr>
              <w:t>1,172</w:t>
            </w:r>
          </w:p>
        </w:tc>
      </w:tr>
      <w:tr w:rsidR="00EF7627" w14:paraId="4ED5E348" w14:textId="77777777" w:rsidTr="00E86C16">
        <w:tc>
          <w:tcPr>
            <w:tcW w:w="1080" w:type="dxa"/>
          </w:tcPr>
          <w:p w14:paraId="47FB8FE4" w14:textId="77777777" w:rsidR="00D431B4" w:rsidRDefault="00D431B4" w:rsidP="009C3D67">
            <w:pPr>
              <w:rPr>
                <w:rFonts w:ascii="Candara" w:hAnsi="Candara" w:cs="Calibri"/>
                <w:b/>
                <w:bCs/>
                <w:sz w:val="18"/>
                <w:szCs w:val="18"/>
              </w:rPr>
            </w:pPr>
            <w:r>
              <w:rPr>
                <w:rFonts w:ascii="Candara" w:hAnsi="Candara" w:cs="Calibri"/>
                <w:b/>
                <w:bCs/>
                <w:sz w:val="18"/>
                <w:szCs w:val="18"/>
              </w:rPr>
              <w:t>DPRK</w:t>
            </w:r>
          </w:p>
        </w:tc>
        <w:tc>
          <w:tcPr>
            <w:tcW w:w="990" w:type="dxa"/>
          </w:tcPr>
          <w:p w14:paraId="18CBF187" w14:textId="77777777" w:rsidR="00D431B4" w:rsidRDefault="00D431B4" w:rsidP="009C3D67">
            <w:pPr>
              <w:jc w:val="right"/>
              <w:rPr>
                <w:rFonts w:ascii="Candara" w:hAnsi="Candara" w:cs="Calibri"/>
                <w:sz w:val="20"/>
                <w:szCs w:val="20"/>
              </w:rPr>
            </w:pPr>
            <w:r>
              <w:rPr>
                <w:rFonts w:ascii="Candara" w:hAnsi="Candara" w:cs="Calibri"/>
                <w:sz w:val="20"/>
                <w:szCs w:val="20"/>
              </w:rPr>
              <w:t>10</w:t>
            </w:r>
          </w:p>
        </w:tc>
        <w:tc>
          <w:tcPr>
            <w:tcW w:w="630" w:type="dxa"/>
          </w:tcPr>
          <w:p w14:paraId="62FD82DC" w14:textId="77777777" w:rsidR="00D431B4" w:rsidRDefault="00D431B4" w:rsidP="009C3D67">
            <w:pPr>
              <w:jc w:val="right"/>
              <w:rPr>
                <w:rFonts w:ascii="Candara" w:hAnsi="Candara" w:cs="Calibri"/>
                <w:sz w:val="20"/>
                <w:szCs w:val="20"/>
              </w:rPr>
            </w:pPr>
            <w:r>
              <w:rPr>
                <w:rFonts w:ascii="Candara" w:hAnsi="Candara" w:cs="Calibri"/>
                <w:sz w:val="20"/>
                <w:szCs w:val="20"/>
              </w:rPr>
              <w:t>29</w:t>
            </w:r>
          </w:p>
        </w:tc>
        <w:tc>
          <w:tcPr>
            <w:tcW w:w="990" w:type="dxa"/>
          </w:tcPr>
          <w:p w14:paraId="32922251" w14:textId="77777777" w:rsidR="00D431B4" w:rsidRDefault="00D431B4" w:rsidP="009C3D67">
            <w:pPr>
              <w:jc w:val="right"/>
              <w:rPr>
                <w:rFonts w:ascii="Candara" w:hAnsi="Candara" w:cs="Calibri"/>
                <w:sz w:val="20"/>
                <w:szCs w:val="20"/>
              </w:rPr>
            </w:pPr>
            <w:r>
              <w:rPr>
                <w:rFonts w:ascii="Candara" w:hAnsi="Candara" w:cs="Calibri"/>
                <w:sz w:val="20"/>
                <w:szCs w:val="20"/>
              </w:rPr>
              <w:t>2</w:t>
            </w:r>
          </w:p>
        </w:tc>
        <w:tc>
          <w:tcPr>
            <w:tcW w:w="1170" w:type="dxa"/>
          </w:tcPr>
          <w:p w14:paraId="2B3B4296" w14:textId="77777777" w:rsidR="00D431B4" w:rsidRDefault="00D431B4" w:rsidP="009C3D67">
            <w:pPr>
              <w:jc w:val="right"/>
              <w:rPr>
                <w:rFonts w:ascii="Candara" w:hAnsi="Candara" w:cs="Calibri"/>
                <w:sz w:val="20"/>
                <w:szCs w:val="20"/>
              </w:rPr>
            </w:pPr>
            <w:r>
              <w:rPr>
                <w:rFonts w:ascii="Candara" w:hAnsi="Candara" w:cs="Calibri"/>
                <w:sz w:val="20"/>
                <w:szCs w:val="20"/>
              </w:rPr>
              <w:t>1</w:t>
            </w:r>
          </w:p>
        </w:tc>
        <w:tc>
          <w:tcPr>
            <w:tcW w:w="810" w:type="dxa"/>
          </w:tcPr>
          <w:p w14:paraId="1B764112" w14:textId="77777777" w:rsidR="00D431B4" w:rsidRDefault="00D431B4" w:rsidP="009C3D67">
            <w:pPr>
              <w:jc w:val="right"/>
              <w:rPr>
                <w:rFonts w:ascii="Candara" w:hAnsi="Candara" w:cs="Calibri"/>
                <w:sz w:val="20"/>
                <w:szCs w:val="20"/>
              </w:rPr>
            </w:pPr>
            <w:r>
              <w:rPr>
                <w:rFonts w:ascii="Candara" w:hAnsi="Candara" w:cs="Calibri"/>
                <w:sz w:val="20"/>
                <w:szCs w:val="20"/>
              </w:rPr>
              <w:t>24</w:t>
            </w:r>
          </w:p>
        </w:tc>
        <w:tc>
          <w:tcPr>
            <w:tcW w:w="990" w:type="dxa"/>
          </w:tcPr>
          <w:p w14:paraId="22AB1B72" w14:textId="77777777" w:rsidR="00D431B4" w:rsidRDefault="00D431B4" w:rsidP="009C3D67">
            <w:pPr>
              <w:jc w:val="right"/>
              <w:rPr>
                <w:rFonts w:ascii="Candara" w:hAnsi="Candara" w:cs="Calibri"/>
                <w:sz w:val="20"/>
                <w:szCs w:val="20"/>
              </w:rPr>
            </w:pPr>
            <w:r>
              <w:rPr>
                <w:rFonts w:ascii="Candara" w:hAnsi="Candara" w:cs="Calibri"/>
                <w:sz w:val="20"/>
                <w:szCs w:val="20"/>
              </w:rPr>
              <w:t>0</w:t>
            </w:r>
          </w:p>
        </w:tc>
        <w:tc>
          <w:tcPr>
            <w:tcW w:w="900" w:type="dxa"/>
          </w:tcPr>
          <w:p w14:paraId="194897F8" w14:textId="77777777" w:rsidR="00D431B4" w:rsidRDefault="00D431B4" w:rsidP="009C3D67">
            <w:pPr>
              <w:jc w:val="right"/>
              <w:rPr>
                <w:rFonts w:ascii="Candara" w:hAnsi="Candara" w:cs="Calibri"/>
                <w:sz w:val="20"/>
                <w:szCs w:val="20"/>
              </w:rPr>
            </w:pPr>
            <w:r>
              <w:rPr>
                <w:rFonts w:ascii="Candara" w:hAnsi="Candara" w:cs="Calibri"/>
                <w:sz w:val="20"/>
                <w:szCs w:val="20"/>
              </w:rPr>
              <w:t>3</w:t>
            </w:r>
          </w:p>
        </w:tc>
        <w:tc>
          <w:tcPr>
            <w:tcW w:w="810" w:type="dxa"/>
          </w:tcPr>
          <w:p w14:paraId="10FAB760" w14:textId="77777777" w:rsidR="00D431B4" w:rsidRDefault="00D431B4" w:rsidP="009C3D67">
            <w:pPr>
              <w:jc w:val="right"/>
              <w:rPr>
                <w:rFonts w:ascii="Candara" w:hAnsi="Candara" w:cs="Calibri"/>
                <w:sz w:val="20"/>
                <w:szCs w:val="20"/>
              </w:rPr>
            </w:pPr>
            <w:r>
              <w:rPr>
                <w:rFonts w:ascii="Candara" w:hAnsi="Candara" w:cs="Calibri"/>
                <w:sz w:val="20"/>
                <w:szCs w:val="20"/>
              </w:rPr>
              <w:t>18</w:t>
            </w:r>
          </w:p>
        </w:tc>
        <w:tc>
          <w:tcPr>
            <w:tcW w:w="1080" w:type="dxa"/>
          </w:tcPr>
          <w:p w14:paraId="7D598CC7" w14:textId="77777777" w:rsidR="00D431B4" w:rsidRDefault="00D431B4" w:rsidP="009C3D67">
            <w:pPr>
              <w:jc w:val="right"/>
              <w:rPr>
                <w:rFonts w:ascii="Candara" w:hAnsi="Candara" w:cs="Calibri"/>
                <w:sz w:val="20"/>
                <w:szCs w:val="20"/>
              </w:rPr>
            </w:pPr>
            <w:r>
              <w:rPr>
                <w:rFonts w:ascii="Candara" w:hAnsi="Candara" w:cs="Calibri"/>
                <w:sz w:val="20"/>
                <w:szCs w:val="20"/>
              </w:rPr>
              <w:t>1</w:t>
            </w:r>
          </w:p>
        </w:tc>
        <w:tc>
          <w:tcPr>
            <w:tcW w:w="720" w:type="dxa"/>
          </w:tcPr>
          <w:p w14:paraId="6F7AA341" w14:textId="77777777" w:rsidR="00D431B4" w:rsidRDefault="00D431B4" w:rsidP="009C3D67">
            <w:pPr>
              <w:jc w:val="right"/>
              <w:rPr>
                <w:rFonts w:ascii="Candara" w:hAnsi="Candara" w:cs="Calibri"/>
                <w:sz w:val="20"/>
                <w:szCs w:val="20"/>
              </w:rPr>
            </w:pPr>
            <w:r>
              <w:rPr>
                <w:rFonts w:ascii="Candara" w:hAnsi="Candara" w:cs="Calibri"/>
                <w:sz w:val="20"/>
                <w:szCs w:val="20"/>
              </w:rPr>
              <w:t>88</w:t>
            </w:r>
          </w:p>
        </w:tc>
      </w:tr>
      <w:tr w:rsidR="00EF7627" w14:paraId="02D2016C" w14:textId="77777777" w:rsidTr="00E86C16">
        <w:tc>
          <w:tcPr>
            <w:tcW w:w="1080" w:type="dxa"/>
          </w:tcPr>
          <w:p w14:paraId="7E7D25EE" w14:textId="77777777" w:rsidR="00D431B4" w:rsidRDefault="00D431B4" w:rsidP="009C3D67">
            <w:pPr>
              <w:rPr>
                <w:rFonts w:ascii="Candara" w:hAnsi="Candara" w:cs="Calibri"/>
                <w:b/>
                <w:bCs/>
                <w:sz w:val="18"/>
                <w:szCs w:val="18"/>
              </w:rPr>
            </w:pPr>
            <w:r>
              <w:rPr>
                <w:rFonts w:ascii="Candara" w:hAnsi="Candara" w:cs="Calibri"/>
                <w:b/>
                <w:bCs/>
                <w:sz w:val="18"/>
                <w:szCs w:val="18"/>
              </w:rPr>
              <w:t>Japan</w:t>
            </w:r>
          </w:p>
        </w:tc>
        <w:tc>
          <w:tcPr>
            <w:tcW w:w="990" w:type="dxa"/>
          </w:tcPr>
          <w:p w14:paraId="2225276E" w14:textId="77777777" w:rsidR="00D431B4" w:rsidRDefault="00D431B4" w:rsidP="009C3D67">
            <w:pPr>
              <w:jc w:val="right"/>
              <w:rPr>
                <w:rFonts w:ascii="Candara" w:hAnsi="Candara" w:cs="Calibri"/>
                <w:sz w:val="20"/>
                <w:szCs w:val="20"/>
              </w:rPr>
            </w:pPr>
            <w:r>
              <w:rPr>
                <w:rFonts w:ascii="Candara" w:hAnsi="Candara" w:cs="Calibri"/>
                <w:sz w:val="20"/>
                <w:szCs w:val="20"/>
              </w:rPr>
              <w:t>29</w:t>
            </w:r>
          </w:p>
        </w:tc>
        <w:tc>
          <w:tcPr>
            <w:tcW w:w="630" w:type="dxa"/>
          </w:tcPr>
          <w:p w14:paraId="06666621" w14:textId="77777777" w:rsidR="00D431B4" w:rsidRDefault="00D431B4" w:rsidP="009C3D67">
            <w:pPr>
              <w:jc w:val="right"/>
              <w:rPr>
                <w:rFonts w:ascii="Candara" w:hAnsi="Candara" w:cs="Calibri"/>
                <w:sz w:val="20"/>
                <w:szCs w:val="20"/>
              </w:rPr>
            </w:pPr>
            <w:r>
              <w:rPr>
                <w:rFonts w:ascii="Candara" w:hAnsi="Candara" w:cs="Calibri"/>
                <w:sz w:val="20"/>
                <w:szCs w:val="20"/>
              </w:rPr>
              <w:t>50</w:t>
            </w:r>
          </w:p>
        </w:tc>
        <w:tc>
          <w:tcPr>
            <w:tcW w:w="990" w:type="dxa"/>
          </w:tcPr>
          <w:p w14:paraId="2168B830" w14:textId="77777777" w:rsidR="00D431B4" w:rsidRDefault="00D431B4" w:rsidP="009C3D67">
            <w:pPr>
              <w:jc w:val="right"/>
              <w:rPr>
                <w:rFonts w:ascii="Candara" w:hAnsi="Candara" w:cs="Calibri"/>
                <w:sz w:val="20"/>
                <w:szCs w:val="20"/>
              </w:rPr>
            </w:pPr>
            <w:r>
              <w:rPr>
                <w:rFonts w:ascii="Candara" w:hAnsi="Candara" w:cs="Calibri"/>
                <w:sz w:val="20"/>
                <w:szCs w:val="20"/>
              </w:rPr>
              <w:t>25</w:t>
            </w:r>
          </w:p>
        </w:tc>
        <w:tc>
          <w:tcPr>
            <w:tcW w:w="1170" w:type="dxa"/>
          </w:tcPr>
          <w:p w14:paraId="496EC5C1" w14:textId="77777777" w:rsidR="00D431B4" w:rsidRDefault="00D431B4" w:rsidP="009C3D67">
            <w:pPr>
              <w:jc w:val="right"/>
              <w:rPr>
                <w:rFonts w:ascii="Candara" w:hAnsi="Candara" w:cs="Calibri"/>
                <w:sz w:val="20"/>
                <w:szCs w:val="20"/>
              </w:rPr>
            </w:pPr>
            <w:r>
              <w:rPr>
                <w:rFonts w:ascii="Candara" w:hAnsi="Candara" w:cs="Calibri"/>
                <w:sz w:val="20"/>
                <w:szCs w:val="20"/>
              </w:rPr>
              <w:t>20</w:t>
            </w:r>
          </w:p>
        </w:tc>
        <w:tc>
          <w:tcPr>
            <w:tcW w:w="810" w:type="dxa"/>
          </w:tcPr>
          <w:p w14:paraId="39A55F6B" w14:textId="77777777" w:rsidR="00D431B4" w:rsidRDefault="00D431B4" w:rsidP="009C3D67">
            <w:pPr>
              <w:jc w:val="right"/>
              <w:rPr>
                <w:rFonts w:ascii="Candara" w:hAnsi="Candara" w:cs="Calibri"/>
                <w:sz w:val="20"/>
                <w:szCs w:val="20"/>
              </w:rPr>
            </w:pPr>
            <w:r>
              <w:rPr>
                <w:rFonts w:ascii="Candara" w:hAnsi="Candara" w:cs="Calibri"/>
                <w:sz w:val="20"/>
                <w:szCs w:val="20"/>
              </w:rPr>
              <w:t>104</w:t>
            </w:r>
          </w:p>
        </w:tc>
        <w:tc>
          <w:tcPr>
            <w:tcW w:w="990" w:type="dxa"/>
          </w:tcPr>
          <w:p w14:paraId="184A71B4" w14:textId="77777777" w:rsidR="00D431B4" w:rsidRDefault="00D431B4" w:rsidP="009C3D67">
            <w:pPr>
              <w:jc w:val="right"/>
              <w:rPr>
                <w:rFonts w:ascii="Candara" w:hAnsi="Candara" w:cs="Calibri"/>
                <w:sz w:val="20"/>
                <w:szCs w:val="20"/>
              </w:rPr>
            </w:pPr>
            <w:r>
              <w:rPr>
                <w:rFonts w:ascii="Candara" w:hAnsi="Candara" w:cs="Calibri"/>
                <w:sz w:val="20"/>
                <w:szCs w:val="20"/>
              </w:rPr>
              <w:t>34</w:t>
            </w:r>
          </w:p>
        </w:tc>
        <w:tc>
          <w:tcPr>
            <w:tcW w:w="900" w:type="dxa"/>
          </w:tcPr>
          <w:p w14:paraId="7AF8B418" w14:textId="77777777" w:rsidR="00D431B4" w:rsidRDefault="00D431B4" w:rsidP="009C3D67">
            <w:pPr>
              <w:jc w:val="right"/>
              <w:rPr>
                <w:rFonts w:ascii="Candara" w:hAnsi="Candara" w:cs="Calibri"/>
                <w:sz w:val="20"/>
                <w:szCs w:val="20"/>
              </w:rPr>
            </w:pPr>
            <w:r>
              <w:rPr>
                <w:rFonts w:ascii="Candara" w:hAnsi="Candara" w:cs="Calibri"/>
                <w:sz w:val="20"/>
                <w:szCs w:val="20"/>
              </w:rPr>
              <w:t>143</w:t>
            </w:r>
          </w:p>
        </w:tc>
        <w:tc>
          <w:tcPr>
            <w:tcW w:w="810" w:type="dxa"/>
          </w:tcPr>
          <w:p w14:paraId="3221F548" w14:textId="77777777" w:rsidR="00D431B4" w:rsidRDefault="00D431B4" w:rsidP="009C3D67">
            <w:pPr>
              <w:jc w:val="right"/>
              <w:rPr>
                <w:rFonts w:ascii="Candara" w:hAnsi="Candara" w:cs="Calibri"/>
                <w:sz w:val="20"/>
                <w:szCs w:val="20"/>
              </w:rPr>
            </w:pPr>
            <w:r>
              <w:rPr>
                <w:rFonts w:ascii="Candara" w:hAnsi="Candara" w:cs="Calibri"/>
                <w:sz w:val="20"/>
                <w:szCs w:val="20"/>
              </w:rPr>
              <w:t>54</w:t>
            </w:r>
          </w:p>
        </w:tc>
        <w:tc>
          <w:tcPr>
            <w:tcW w:w="1080" w:type="dxa"/>
          </w:tcPr>
          <w:p w14:paraId="5BCB88AC" w14:textId="77777777" w:rsidR="00D431B4" w:rsidRDefault="00D431B4" w:rsidP="009C3D67">
            <w:pPr>
              <w:jc w:val="right"/>
              <w:rPr>
                <w:rFonts w:ascii="Candara" w:hAnsi="Candara" w:cs="Calibri"/>
                <w:sz w:val="20"/>
                <w:szCs w:val="20"/>
              </w:rPr>
            </w:pPr>
            <w:r>
              <w:rPr>
                <w:rFonts w:ascii="Candara" w:hAnsi="Candara" w:cs="Calibri"/>
                <w:sz w:val="20"/>
                <w:szCs w:val="20"/>
              </w:rPr>
              <w:t>11</w:t>
            </w:r>
          </w:p>
        </w:tc>
        <w:tc>
          <w:tcPr>
            <w:tcW w:w="720" w:type="dxa"/>
          </w:tcPr>
          <w:p w14:paraId="2A470D32" w14:textId="77777777" w:rsidR="00D431B4" w:rsidRDefault="00D431B4" w:rsidP="009C3D67">
            <w:pPr>
              <w:jc w:val="right"/>
              <w:rPr>
                <w:rFonts w:ascii="Candara" w:hAnsi="Candara" w:cs="Calibri"/>
                <w:sz w:val="20"/>
                <w:szCs w:val="20"/>
              </w:rPr>
            </w:pPr>
            <w:r>
              <w:rPr>
                <w:rFonts w:ascii="Candara" w:hAnsi="Candara" w:cs="Calibri"/>
                <w:sz w:val="20"/>
                <w:szCs w:val="20"/>
              </w:rPr>
              <w:t>470</w:t>
            </w:r>
          </w:p>
        </w:tc>
      </w:tr>
      <w:tr w:rsidR="00EF7627" w14:paraId="47D46CBA" w14:textId="77777777" w:rsidTr="00E86C16">
        <w:tc>
          <w:tcPr>
            <w:tcW w:w="1080" w:type="dxa"/>
          </w:tcPr>
          <w:p w14:paraId="4D8D3FEF" w14:textId="77777777" w:rsidR="00D431B4" w:rsidRDefault="00D431B4" w:rsidP="009C3D67">
            <w:pPr>
              <w:rPr>
                <w:rFonts w:ascii="Candara" w:hAnsi="Candara" w:cs="Calibri"/>
                <w:b/>
                <w:bCs/>
                <w:sz w:val="18"/>
                <w:szCs w:val="18"/>
              </w:rPr>
            </w:pPr>
            <w:r>
              <w:rPr>
                <w:rFonts w:ascii="Candara" w:hAnsi="Candara" w:cs="Calibri"/>
                <w:b/>
                <w:bCs/>
                <w:sz w:val="18"/>
                <w:szCs w:val="18"/>
              </w:rPr>
              <w:t>Mongolia</w:t>
            </w:r>
          </w:p>
        </w:tc>
        <w:tc>
          <w:tcPr>
            <w:tcW w:w="990" w:type="dxa"/>
          </w:tcPr>
          <w:p w14:paraId="3EDA9A67" w14:textId="77777777" w:rsidR="00D431B4" w:rsidRDefault="00D431B4" w:rsidP="009C3D67">
            <w:pPr>
              <w:jc w:val="right"/>
              <w:rPr>
                <w:rFonts w:ascii="Candara" w:hAnsi="Candara" w:cs="Calibri"/>
                <w:sz w:val="20"/>
                <w:szCs w:val="20"/>
              </w:rPr>
            </w:pPr>
            <w:r>
              <w:rPr>
                <w:rFonts w:ascii="Candara" w:hAnsi="Candara" w:cs="Calibri"/>
                <w:sz w:val="20"/>
                <w:szCs w:val="20"/>
              </w:rPr>
              <w:t>11</w:t>
            </w:r>
          </w:p>
        </w:tc>
        <w:tc>
          <w:tcPr>
            <w:tcW w:w="630" w:type="dxa"/>
          </w:tcPr>
          <w:p w14:paraId="63624572" w14:textId="77777777" w:rsidR="00D431B4" w:rsidRDefault="00D431B4" w:rsidP="009C3D67">
            <w:pPr>
              <w:jc w:val="right"/>
              <w:rPr>
                <w:rFonts w:ascii="Candara" w:hAnsi="Candara" w:cs="Calibri"/>
                <w:sz w:val="20"/>
                <w:szCs w:val="20"/>
              </w:rPr>
            </w:pPr>
            <w:r>
              <w:rPr>
                <w:rFonts w:ascii="Candara" w:hAnsi="Candara" w:cs="Calibri"/>
                <w:sz w:val="20"/>
                <w:szCs w:val="20"/>
              </w:rPr>
              <w:t>24</w:t>
            </w:r>
          </w:p>
        </w:tc>
        <w:tc>
          <w:tcPr>
            <w:tcW w:w="990" w:type="dxa"/>
          </w:tcPr>
          <w:p w14:paraId="4C0F130F" w14:textId="77777777" w:rsidR="00D431B4" w:rsidRDefault="00D431B4" w:rsidP="009C3D67">
            <w:pPr>
              <w:jc w:val="right"/>
              <w:rPr>
                <w:rFonts w:ascii="Candara" w:hAnsi="Candara" w:cs="Calibri"/>
                <w:sz w:val="20"/>
                <w:szCs w:val="20"/>
              </w:rPr>
            </w:pPr>
            <w:r>
              <w:rPr>
                <w:rFonts w:ascii="Candara" w:hAnsi="Candara" w:cs="Calibri"/>
                <w:sz w:val="20"/>
                <w:szCs w:val="20"/>
              </w:rPr>
              <w:t>0</w:t>
            </w:r>
          </w:p>
        </w:tc>
        <w:tc>
          <w:tcPr>
            <w:tcW w:w="1170" w:type="dxa"/>
          </w:tcPr>
          <w:p w14:paraId="795B0ED2" w14:textId="77777777" w:rsidR="00D431B4" w:rsidRDefault="00D431B4" w:rsidP="009C3D67">
            <w:pPr>
              <w:jc w:val="right"/>
              <w:rPr>
                <w:rFonts w:ascii="Candara" w:hAnsi="Candara" w:cs="Calibri"/>
                <w:sz w:val="20"/>
                <w:szCs w:val="20"/>
              </w:rPr>
            </w:pPr>
            <w:r>
              <w:rPr>
                <w:rFonts w:ascii="Candara" w:hAnsi="Candara" w:cs="Calibri"/>
                <w:sz w:val="20"/>
                <w:szCs w:val="20"/>
              </w:rPr>
              <w:t>0</w:t>
            </w:r>
          </w:p>
        </w:tc>
        <w:tc>
          <w:tcPr>
            <w:tcW w:w="810" w:type="dxa"/>
          </w:tcPr>
          <w:p w14:paraId="35548F77" w14:textId="77777777" w:rsidR="00D431B4" w:rsidRDefault="00D431B4" w:rsidP="009C3D67">
            <w:pPr>
              <w:jc w:val="right"/>
              <w:rPr>
                <w:rFonts w:ascii="Candara" w:hAnsi="Candara" w:cs="Calibri"/>
                <w:sz w:val="20"/>
                <w:szCs w:val="20"/>
              </w:rPr>
            </w:pPr>
            <w:r>
              <w:rPr>
                <w:rFonts w:ascii="Candara" w:hAnsi="Candara" w:cs="Calibri"/>
                <w:sz w:val="20"/>
                <w:szCs w:val="20"/>
              </w:rPr>
              <w:t>2</w:t>
            </w:r>
          </w:p>
        </w:tc>
        <w:tc>
          <w:tcPr>
            <w:tcW w:w="990" w:type="dxa"/>
          </w:tcPr>
          <w:p w14:paraId="0810A7C5" w14:textId="77777777" w:rsidR="00D431B4" w:rsidRDefault="00D431B4" w:rsidP="009C3D67">
            <w:pPr>
              <w:jc w:val="right"/>
              <w:rPr>
                <w:rFonts w:ascii="Candara" w:hAnsi="Candara" w:cs="Calibri"/>
                <w:sz w:val="20"/>
                <w:szCs w:val="20"/>
              </w:rPr>
            </w:pPr>
            <w:r>
              <w:rPr>
                <w:rFonts w:ascii="Candara" w:hAnsi="Candara" w:cs="Calibri"/>
                <w:sz w:val="20"/>
                <w:szCs w:val="20"/>
              </w:rPr>
              <w:t>0</w:t>
            </w:r>
          </w:p>
        </w:tc>
        <w:tc>
          <w:tcPr>
            <w:tcW w:w="900" w:type="dxa"/>
          </w:tcPr>
          <w:p w14:paraId="0200D463" w14:textId="77777777" w:rsidR="00D431B4" w:rsidRDefault="00D431B4" w:rsidP="009C3D67">
            <w:pPr>
              <w:jc w:val="right"/>
              <w:rPr>
                <w:rFonts w:ascii="Candara" w:hAnsi="Candara" w:cs="Calibri"/>
                <w:sz w:val="20"/>
                <w:szCs w:val="20"/>
              </w:rPr>
            </w:pPr>
            <w:r>
              <w:rPr>
                <w:rFonts w:ascii="Candara" w:hAnsi="Candara" w:cs="Calibri"/>
                <w:sz w:val="20"/>
                <w:szCs w:val="20"/>
              </w:rPr>
              <w:t>3</w:t>
            </w:r>
          </w:p>
        </w:tc>
        <w:tc>
          <w:tcPr>
            <w:tcW w:w="810" w:type="dxa"/>
          </w:tcPr>
          <w:p w14:paraId="74E086B2" w14:textId="77777777" w:rsidR="00D431B4" w:rsidRDefault="00D431B4" w:rsidP="009C3D67">
            <w:pPr>
              <w:jc w:val="right"/>
              <w:rPr>
                <w:rFonts w:ascii="Candara" w:hAnsi="Candara" w:cs="Calibri"/>
                <w:sz w:val="20"/>
                <w:szCs w:val="20"/>
              </w:rPr>
            </w:pPr>
            <w:r>
              <w:rPr>
                <w:rFonts w:ascii="Candara" w:hAnsi="Candara" w:cs="Calibri"/>
                <w:sz w:val="20"/>
                <w:szCs w:val="20"/>
              </w:rPr>
              <w:t>0</w:t>
            </w:r>
          </w:p>
        </w:tc>
        <w:tc>
          <w:tcPr>
            <w:tcW w:w="1080" w:type="dxa"/>
          </w:tcPr>
          <w:p w14:paraId="649C455D" w14:textId="77777777" w:rsidR="00D431B4" w:rsidRDefault="00D431B4" w:rsidP="009C3D67">
            <w:pPr>
              <w:jc w:val="right"/>
              <w:rPr>
                <w:rFonts w:ascii="Candara" w:hAnsi="Candara" w:cs="Calibri"/>
                <w:sz w:val="20"/>
                <w:szCs w:val="20"/>
              </w:rPr>
            </w:pPr>
            <w:r>
              <w:rPr>
                <w:rFonts w:ascii="Candara" w:hAnsi="Candara" w:cs="Calibri"/>
                <w:sz w:val="20"/>
                <w:szCs w:val="20"/>
              </w:rPr>
              <w:t>3</w:t>
            </w:r>
          </w:p>
        </w:tc>
        <w:tc>
          <w:tcPr>
            <w:tcW w:w="720" w:type="dxa"/>
          </w:tcPr>
          <w:p w14:paraId="5A1DE483" w14:textId="77777777" w:rsidR="00D431B4" w:rsidRDefault="00D431B4" w:rsidP="009C3D67">
            <w:pPr>
              <w:jc w:val="right"/>
              <w:rPr>
                <w:rFonts w:ascii="Candara" w:hAnsi="Candara" w:cs="Calibri"/>
                <w:sz w:val="20"/>
                <w:szCs w:val="20"/>
              </w:rPr>
            </w:pPr>
            <w:r>
              <w:rPr>
                <w:rFonts w:ascii="Candara" w:hAnsi="Candara" w:cs="Calibri"/>
                <w:sz w:val="20"/>
                <w:szCs w:val="20"/>
              </w:rPr>
              <w:t>43</w:t>
            </w:r>
          </w:p>
        </w:tc>
      </w:tr>
      <w:tr w:rsidR="00EF7627" w14:paraId="13D5E570" w14:textId="77777777" w:rsidTr="00E86C16">
        <w:tc>
          <w:tcPr>
            <w:tcW w:w="1080" w:type="dxa"/>
          </w:tcPr>
          <w:p w14:paraId="3B5BEE11" w14:textId="77777777" w:rsidR="00D431B4" w:rsidRDefault="00D431B4" w:rsidP="009C3D67">
            <w:pPr>
              <w:rPr>
                <w:rFonts w:ascii="Candara" w:hAnsi="Candara" w:cs="Calibri"/>
                <w:b/>
                <w:bCs/>
                <w:sz w:val="18"/>
                <w:szCs w:val="18"/>
              </w:rPr>
            </w:pPr>
            <w:r>
              <w:rPr>
                <w:rFonts w:ascii="Candara" w:hAnsi="Candara" w:cs="Calibri"/>
                <w:b/>
                <w:bCs/>
                <w:sz w:val="18"/>
                <w:szCs w:val="18"/>
              </w:rPr>
              <w:t>Republic of Korea</w:t>
            </w:r>
          </w:p>
        </w:tc>
        <w:tc>
          <w:tcPr>
            <w:tcW w:w="990" w:type="dxa"/>
          </w:tcPr>
          <w:p w14:paraId="50C8DB7D" w14:textId="77777777" w:rsidR="00D431B4" w:rsidRDefault="00D431B4" w:rsidP="009C3D67">
            <w:pPr>
              <w:jc w:val="right"/>
              <w:rPr>
                <w:rFonts w:ascii="Candara" w:hAnsi="Candara" w:cs="Calibri"/>
                <w:sz w:val="20"/>
                <w:szCs w:val="20"/>
              </w:rPr>
            </w:pPr>
            <w:r>
              <w:rPr>
                <w:rFonts w:ascii="Candara" w:hAnsi="Candara" w:cs="Calibri"/>
                <w:sz w:val="20"/>
                <w:szCs w:val="20"/>
              </w:rPr>
              <w:t>12</w:t>
            </w:r>
          </w:p>
        </w:tc>
        <w:tc>
          <w:tcPr>
            <w:tcW w:w="630" w:type="dxa"/>
          </w:tcPr>
          <w:p w14:paraId="44993808" w14:textId="77777777" w:rsidR="00D431B4" w:rsidRDefault="00D431B4" w:rsidP="009C3D67">
            <w:pPr>
              <w:jc w:val="right"/>
              <w:rPr>
                <w:rFonts w:ascii="Candara" w:hAnsi="Candara" w:cs="Calibri"/>
                <w:sz w:val="20"/>
                <w:szCs w:val="20"/>
              </w:rPr>
            </w:pPr>
            <w:r>
              <w:rPr>
                <w:rFonts w:ascii="Candara" w:hAnsi="Candara" w:cs="Calibri"/>
                <w:sz w:val="20"/>
                <w:szCs w:val="20"/>
              </w:rPr>
              <w:t>33</w:t>
            </w:r>
          </w:p>
        </w:tc>
        <w:tc>
          <w:tcPr>
            <w:tcW w:w="990" w:type="dxa"/>
          </w:tcPr>
          <w:p w14:paraId="45075AC8" w14:textId="77777777" w:rsidR="00D431B4" w:rsidRDefault="00D431B4" w:rsidP="009C3D67">
            <w:pPr>
              <w:jc w:val="right"/>
              <w:rPr>
                <w:rFonts w:ascii="Candara" w:hAnsi="Candara" w:cs="Calibri"/>
                <w:sz w:val="20"/>
                <w:szCs w:val="20"/>
              </w:rPr>
            </w:pPr>
            <w:r>
              <w:rPr>
                <w:rFonts w:ascii="Candara" w:hAnsi="Candara" w:cs="Calibri"/>
                <w:sz w:val="20"/>
                <w:szCs w:val="20"/>
              </w:rPr>
              <w:t>3</w:t>
            </w:r>
          </w:p>
        </w:tc>
        <w:tc>
          <w:tcPr>
            <w:tcW w:w="1170" w:type="dxa"/>
          </w:tcPr>
          <w:p w14:paraId="46327642" w14:textId="77777777" w:rsidR="00D431B4" w:rsidRDefault="00D431B4" w:rsidP="009C3D67">
            <w:pPr>
              <w:jc w:val="right"/>
              <w:rPr>
                <w:rFonts w:ascii="Candara" w:hAnsi="Candara" w:cs="Calibri"/>
                <w:sz w:val="20"/>
                <w:szCs w:val="20"/>
              </w:rPr>
            </w:pPr>
            <w:r>
              <w:rPr>
                <w:rFonts w:ascii="Candara" w:hAnsi="Candara" w:cs="Calibri"/>
                <w:sz w:val="20"/>
                <w:szCs w:val="20"/>
              </w:rPr>
              <w:t>5</w:t>
            </w:r>
          </w:p>
        </w:tc>
        <w:tc>
          <w:tcPr>
            <w:tcW w:w="810" w:type="dxa"/>
          </w:tcPr>
          <w:p w14:paraId="18EFA662" w14:textId="77777777" w:rsidR="00D431B4" w:rsidRDefault="00D431B4" w:rsidP="009C3D67">
            <w:pPr>
              <w:jc w:val="right"/>
              <w:rPr>
                <w:rFonts w:ascii="Candara" w:hAnsi="Candara" w:cs="Calibri"/>
                <w:sz w:val="20"/>
                <w:szCs w:val="20"/>
              </w:rPr>
            </w:pPr>
            <w:r>
              <w:rPr>
                <w:rFonts w:ascii="Candara" w:hAnsi="Candara" w:cs="Calibri"/>
                <w:sz w:val="20"/>
                <w:szCs w:val="20"/>
              </w:rPr>
              <w:t>37</w:t>
            </w:r>
          </w:p>
        </w:tc>
        <w:tc>
          <w:tcPr>
            <w:tcW w:w="990" w:type="dxa"/>
          </w:tcPr>
          <w:p w14:paraId="3CCEC05D" w14:textId="77777777" w:rsidR="00D431B4" w:rsidRDefault="00D431B4" w:rsidP="009C3D67">
            <w:pPr>
              <w:jc w:val="right"/>
              <w:rPr>
                <w:rFonts w:ascii="Candara" w:hAnsi="Candara" w:cs="Calibri"/>
                <w:sz w:val="20"/>
                <w:szCs w:val="20"/>
              </w:rPr>
            </w:pPr>
            <w:r>
              <w:rPr>
                <w:rFonts w:ascii="Candara" w:hAnsi="Candara" w:cs="Calibri"/>
                <w:sz w:val="20"/>
                <w:szCs w:val="20"/>
              </w:rPr>
              <w:t>0</w:t>
            </w:r>
          </w:p>
        </w:tc>
        <w:tc>
          <w:tcPr>
            <w:tcW w:w="900" w:type="dxa"/>
          </w:tcPr>
          <w:p w14:paraId="62B6838E" w14:textId="77777777" w:rsidR="00D431B4" w:rsidRDefault="00D431B4" w:rsidP="009C3D67">
            <w:pPr>
              <w:jc w:val="right"/>
              <w:rPr>
                <w:rFonts w:ascii="Candara" w:hAnsi="Candara" w:cs="Calibri"/>
                <w:sz w:val="20"/>
                <w:szCs w:val="20"/>
              </w:rPr>
            </w:pPr>
            <w:r>
              <w:rPr>
                <w:rFonts w:ascii="Candara" w:hAnsi="Candara" w:cs="Calibri"/>
                <w:sz w:val="20"/>
                <w:szCs w:val="20"/>
              </w:rPr>
              <w:t>8</w:t>
            </w:r>
          </w:p>
        </w:tc>
        <w:tc>
          <w:tcPr>
            <w:tcW w:w="810" w:type="dxa"/>
          </w:tcPr>
          <w:p w14:paraId="0EE1BB47" w14:textId="77777777" w:rsidR="00D431B4" w:rsidRDefault="00D431B4" w:rsidP="009C3D67">
            <w:pPr>
              <w:jc w:val="right"/>
              <w:rPr>
                <w:rFonts w:ascii="Candara" w:hAnsi="Candara" w:cs="Calibri"/>
                <w:sz w:val="20"/>
                <w:szCs w:val="20"/>
              </w:rPr>
            </w:pPr>
            <w:r>
              <w:rPr>
                <w:rFonts w:ascii="Candara" w:hAnsi="Candara" w:cs="Calibri"/>
                <w:sz w:val="20"/>
                <w:szCs w:val="20"/>
              </w:rPr>
              <w:t>36</w:t>
            </w:r>
          </w:p>
        </w:tc>
        <w:tc>
          <w:tcPr>
            <w:tcW w:w="1080" w:type="dxa"/>
          </w:tcPr>
          <w:p w14:paraId="04DA3A5C" w14:textId="77777777" w:rsidR="00D431B4" w:rsidRDefault="00D431B4" w:rsidP="009C3D67">
            <w:pPr>
              <w:jc w:val="right"/>
              <w:rPr>
                <w:rFonts w:ascii="Candara" w:hAnsi="Candara" w:cs="Calibri"/>
                <w:sz w:val="20"/>
                <w:szCs w:val="20"/>
              </w:rPr>
            </w:pPr>
            <w:r>
              <w:rPr>
                <w:rFonts w:ascii="Candara" w:hAnsi="Candara" w:cs="Calibri"/>
                <w:sz w:val="20"/>
                <w:szCs w:val="20"/>
              </w:rPr>
              <w:t>2</w:t>
            </w:r>
          </w:p>
        </w:tc>
        <w:tc>
          <w:tcPr>
            <w:tcW w:w="720" w:type="dxa"/>
          </w:tcPr>
          <w:p w14:paraId="42FD8B4D" w14:textId="77777777" w:rsidR="00D431B4" w:rsidRDefault="00D431B4" w:rsidP="009C3D67">
            <w:pPr>
              <w:jc w:val="right"/>
              <w:rPr>
                <w:rFonts w:ascii="Candara" w:hAnsi="Candara" w:cs="Calibri"/>
                <w:sz w:val="20"/>
                <w:szCs w:val="20"/>
              </w:rPr>
            </w:pPr>
            <w:r>
              <w:rPr>
                <w:rFonts w:ascii="Candara" w:hAnsi="Candara" w:cs="Calibri"/>
                <w:sz w:val="20"/>
                <w:szCs w:val="20"/>
              </w:rPr>
              <w:t>136</w:t>
            </w:r>
          </w:p>
        </w:tc>
      </w:tr>
      <w:tr w:rsidR="00EF7627" w14:paraId="48EB737C" w14:textId="77777777" w:rsidTr="00E86C16">
        <w:tc>
          <w:tcPr>
            <w:tcW w:w="1080" w:type="dxa"/>
          </w:tcPr>
          <w:p w14:paraId="0FCFB2B6" w14:textId="77777777" w:rsidR="00D431B4" w:rsidRDefault="00D431B4" w:rsidP="009C3D67">
            <w:pPr>
              <w:rPr>
                <w:rFonts w:ascii="Candara" w:hAnsi="Candara" w:cs="Calibri"/>
                <w:b/>
                <w:bCs/>
                <w:sz w:val="18"/>
                <w:szCs w:val="18"/>
              </w:rPr>
            </w:pPr>
            <w:r>
              <w:rPr>
                <w:rFonts w:ascii="Candara" w:hAnsi="Candara" w:cs="Calibri"/>
                <w:b/>
                <w:bCs/>
                <w:sz w:val="18"/>
                <w:szCs w:val="18"/>
              </w:rPr>
              <w:t>Russian Federation</w:t>
            </w:r>
          </w:p>
        </w:tc>
        <w:tc>
          <w:tcPr>
            <w:tcW w:w="990" w:type="dxa"/>
          </w:tcPr>
          <w:p w14:paraId="2E07AC5C" w14:textId="77777777" w:rsidR="00D431B4" w:rsidRDefault="00D431B4" w:rsidP="009C3D67">
            <w:pPr>
              <w:jc w:val="right"/>
              <w:rPr>
                <w:rFonts w:ascii="Candara" w:hAnsi="Candara" w:cs="Calibri"/>
                <w:sz w:val="20"/>
                <w:szCs w:val="20"/>
              </w:rPr>
            </w:pPr>
            <w:r>
              <w:rPr>
                <w:rFonts w:ascii="Candara" w:hAnsi="Candara" w:cs="Calibri"/>
                <w:sz w:val="20"/>
                <w:szCs w:val="20"/>
              </w:rPr>
              <w:t>34</w:t>
            </w:r>
          </w:p>
        </w:tc>
        <w:tc>
          <w:tcPr>
            <w:tcW w:w="630" w:type="dxa"/>
          </w:tcPr>
          <w:p w14:paraId="776C20C2" w14:textId="77777777" w:rsidR="00D431B4" w:rsidRDefault="00D431B4" w:rsidP="009C3D67">
            <w:pPr>
              <w:jc w:val="right"/>
              <w:rPr>
                <w:rFonts w:ascii="Candara" w:hAnsi="Candara" w:cs="Calibri"/>
                <w:sz w:val="20"/>
                <w:szCs w:val="20"/>
              </w:rPr>
            </w:pPr>
            <w:r>
              <w:rPr>
                <w:rFonts w:ascii="Candara" w:hAnsi="Candara" w:cs="Calibri"/>
                <w:sz w:val="20"/>
                <w:szCs w:val="20"/>
              </w:rPr>
              <w:t>57</w:t>
            </w:r>
          </w:p>
        </w:tc>
        <w:tc>
          <w:tcPr>
            <w:tcW w:w="990" w:type="dxa"/>
          </w:tcPr>
          <w:p w14:paraId="0A319C6E" w14:textId="77777777" w:rsidR="00D431B4" w:rsidRDefault="00D431B4" w:rsidP="009C3D67">
            <w:pPr>
              <w:jc w:val="right"/>
              <w:rPr>
                <w:rFonts w:ascii="Candara" w:hAnsi="Candara" w:cs="Calibri"/>
                <w:sz w:val="20"/>
                <w:szCs w:val="20"/>
              </w:rPr>
            </w:pPr>
            <w:r>
              <w:rPr>
                <w:rFonts w:ascii="Candara" w:hAnsi="Candara" w:cs="Calibri"/>
                <w:sz w:val="20"/>
                <w:szCs w:val="20"/>
              </w:rPr>
              <w:t>9</w:t>
            </w:r>
          </w:p>
        </w:tc>
        <w:tc>
          <w:tcPr>
            <w:tcW w:w="1170" w:type="dxa"/>
          </w:tcPr>
          <w:p w14:paraId="2C4AD572" w14:textId="77777777" w:rsidR="00D431B4" w:rsidRDefault="00D431B4" w:rsidP="009C3D67">
            <w:pPr>
              <w:jc w:val="right"/>
              <w:rPr>
                <w:rFonts w:ascii="Candara" w:hAnsi="Candara" w:cs="Calibri"/>
                <w:sz w:val="20"/>
                <w:szCs w:val="20"/>
              </w:rPr>
            </w:pPr>
            <w:r>
              <w:rPr>
                <w:rFonts w:ascii="Candara" w:hAnsi="Candara" w:cs="Calibri"/>
                <w:sz w:val="20"/>
                <w:szCs w:val="20"/>
              </w:rPr>
              <w:t>0</w:t>
            </w:r>
          </w:p>
        </w:tc>
        <w:tc>
          <w:tcPr>
            <w:tcW w:w="810" w:type="dxa"/>
          </w:tcPr>
          <w:p w14:paraId="4DEB33B4" w14:textId="77777777" w:rsidR="00D431B4" w:rsidRDefault="00D431B4" w:rsidP="009C3D67">
            <w:pPr>
              <w:jc w:val="right"/>
              <w:rPr>
                <w:rFonts w:ascii="Candara" w:hAnsi="Candara" w:cs="Calibri"/>
                <w:sz w:val="20"/>
                <w:szCs w:val="20"/>
              </w:rPr>
            </w:pPr>
            <w:r>
              <w:rPr>
                <w:rFonts w:ascii="Candara" w:hAnsi="Candara" w:cs="Calibri"/>
                <w:sz w:val="20"/>
                <w:szCs w:val="20"/>
              </w:rPr>
              <w:t>41</w:t>
            </w:r>
          </w:p>
        </w:tc>
        <w:tc>
          <w:tcPr>
            <w:tcW w:w="990" w:type="dxa"/>
          </w:tcPr>
          <w:p w14:paraId="532B708F" w14:textId="77777777" w:rsidR="00D431B4" w:rsidRDefault="00D431B4" w:rsidP="009C3D67">
            <w:pPr>
              <w:jc w:val="right"/>
              <w:rPr>
                <w:rFonts w:ascii="Candara" w:hAnsi="Candara" w:cs="Calibri"/>
                <w:sz w:val="20"/>
                <w:szCs w:val="20"/>
              </w:rPr>
            </w:pPr>
            <w:r>
              <w:rPr>
                <w:rFonts w:ascii="Candara" w:hAnsi="Candara" w:cs="Calibri"/>
                <w:sz w:val="20"/>
                <w:szCs w:val="20"/>
              </w:rPr>
              <w:t>7</w:t>
            </w:r>
          </w:p>
        </w:tc>
        <w:tc>
          <w:tcPr>
            <w:tcW w:w="900" w:type="dxa"/>
          </w:tcPr>
          <w:p w14:paraId="4489F491" w14:textId="77777777" w:rsidR="00D431B4" w:rsidRDefault="00D431B4" w:rsidP="009C3D67">
            <w:pPr>
              <w:jc w:val="right"/>
              <w:rPr>
                <w:rFonts w:ascii="Candara" w:hAnsi="Candara" w:cs="Calibri"/>
                <w:sz w:val="20"/>
                <w:szCs w:val="20"/>
              </w:rPr>
            </w:pPr>
            <w:r>
              <w:rPr>
                <w:rFonts w:ascii="Candara" w:hAnsi="Candara" w:cs="Calibri"/>
                <w:sz w:val="20"/>
                <w:szCs w:val="20"/>
              </w:rPr>
              <w:t>31</w:t>
            </w:r>
          </w:p>
        </w:tc>
        <w:tc>
          <w:tcPr>
            <w:tcW w:w="810" w:type="dxa"/>
          </w:tcPr>
          <w:p w14:paraId="7B78379D" w14:textId="77777777" w:rsidR="00D431B4" w:rsidRDefault="00D431B4" w:rsidP="009C3D67">
            <w:pPr>
              <w:jc w:val="right"/>
              <w:rPr>
                <w:rFonts w:ascii="Candara" w:hAnsi="Candara" w:cs="Calibri"/>
                <w:sz w:val="20"/>
                <w:szCs w:val="20"/>
              </w:rPr>
            </w:pPr>
            <w:r>
              <w:rPr>
                <w:rFonts w:ascii="Candara" w:hAnsi="Candara" w:cs="Calibri"/>
                <w:sz w:val="20"/>
                <w:szCs w:val="20"/>
              </w:rPr>
              <w:t>64</w:t>
            </w:r>
          </w:p>
        </w:tc>
        <w:tc>
          <w:tcPr>
            <w:tcW w:w="1080" w:type="dxa"/>
          </w:tcPr>
          <w:p w14:paraId="4DFA732D" w14:textId="77777777" w:rsidR="00D431B4" w:rsidRDefault="00D431B4" w:rsidP="009C3D67">
            <w:pPr>
              <w:jc w:val="right"/>
              <w:rPr>
                <w:rFonts w:ascii="Candara" w:hAnsi="Candara" w:cs="Calibri"/>
                <w:sz w:val="20"/>
                <w:szCs w:val="20"/>
              </w:rPr>
            </w:pPr>
            <w:r>
              <w:rPr>
                <w:rFonts w:ascii="Candara" w:hAnsi="Candara" w:cs="Calibri"/>
                <w:sz w:val="20"/>
                <w:szCs w:val="20"/>
              </w:rPr>
              <w:t>36</w:t>
            </w:r>
          </w:p>
        </w:tc>
        <w:tc>
          <w:tcPr>
            <w:tcW w:w="720" w:type="dxa"/>
          </w:tcPr>
          <w:p w14:paraId="1C2169FB" w14:textId="77777777" w:rsidR="00D431B4" w:rsidRDefault="00D431B4" w:rsidP="009C3D67">
            <w:pPr>
              <w:jc w:val="right"/>
              <w:rPr>
                <w:rFonts w:ascii="Candara" w:hAnsi="Candara" w:cs="Calibri"/>
                <w:sz w:val="20"/>
                <w:szCs w:val="20"/>
              </w:rPr>
            </w:pPr>
            <w:r>
              <w:rPr>
                <w:rFonts w:ascii="Candara" w:hAnsi="Candara" w:cs="Calibri"/>
                <w:sz w:val="20"/>
                <w:szCs w:val="20"/>
              </w:rPr>
              <w:t>279</w:t>
            </w:r>
          </w:p>
        </w:tc>
      </w:tr>
    </w:tbl>
    <w:p w14:paraId="0BBA49D2" w14:textId="77777777" w:rsidR="00D431B4" w:rsidRDefault="00D431B4" w:rsidP="00EF7627">
      <w:pPr>
        <w:spacing w:after="0"/>
        <w:rPr>
          <w:rFonts w:ascii="Calibri" w:hAnsi="Calibri" w:cs="Calibri"/>
          <w:i/>
          <w:iCs/>
          <w:sz w:val="20"/>
          <w:szCs w:val="20"/>
        </w:rPr>
      </w:pPr>
      <w:r>
        <w:rPr>
          <w:rFonts w:ascii="Calibri" w:hAnsi="Calibri" w:cs="Calibri"/>
          <w:i/>
          <w:iCs/>
          <w:sz w:val="20"/>
          <w:szCs w:val="20"/>
        </w:rPr>
        <w:t>(Last updated: 19 March 2020)</w:t>
      </w:r>
    </w:p>
    <w:p w14:paraId="04AEB4BD" w14:textId="31E8EEF2" w:rsidR="00D431B4" w:rsidRDefault="00D431B4" w:rsidP="00D431B4">
      <w:pPr>
        <w:spacing w:after="0" w:line="240" w:lineRule="auto"/>
        <w:rPr>
          <w:i/>
          <w:iCs/>
        </w:rPr>
      </w:pPr>
      <w:r>
        <w:rPr>
          <w:rFonts w:ascii="Calibri" w:hAnsi="Calibri" w:cs="Calibri"/>
          <w:i/>
          <w:iCs/>
        </w:rPr>
        <w:t xml:space="preserve">Note: </w:t>
      </w:r>
      <w:r>
        <w:rPr>
          <w:i/>
          <w:iCs/>
        </w:rPr>
        <w:t xml:space="preserve">*/ Reptiles, fishes, </w:t>
      </w:r>
      <w:proofErr w:type="spellStart"/>
      <w:r>
        <w:rPr>
          <w:i/>
          <w:iCs/>
        </w:rPr>
        <w:t>molluscs</w:t>
      </w:r>
      <w:proofErr w:type="spellEnd"/>
      <w:r>
        <w:rPr>
          <w:i/>
          <w:iCs/>
        </w:rPr>
        <w:t>, other invertebrates, plants, fungi &amp; protists: please note that these groups have not yet been completely assessed. Therefore, the figures presented for these groups should be interpreted as the number of species known to be threatened within those species that have been assessed to date.</w:t>
      </w:r>
    </w:p>
    <w:p w14:paraId="502374F5" w14:textId="77777777" w:rsidR="00EF7627" w:rsidRDefault="00EF7627" w:rsidP="00D431B4">
      <w:pPr>
        <w:spacing w:after="0" w:line="240" w:lineRule="auto"/>
        <w:rPr>
          <w:i/>
          <w:iCs/>
        </w:rPr>
      </w:pPr>
    </w:p>
    <w:p w14:paraId="3D587A05" w14:textId="77777777" w:rsidR="00D431B4" w:rsidRDefault="00D431B4" w:rsidP="00D431B4">
      <w:pPr>
        <w:tabs>
          <w:tab w:val="left" w:pos="180"/>
        </w:tabs>
        <w:spacing w:after="0"/>
        <w:jc w:val="both"/>
        <w:rPr>
          <w:rFonts w:ascii="Book Antiqua" w:hAnsi="Book Antiqua"/>
        </w:rPr>
      </w:pPr>
      <w:r>
        <w:rPr>
          <w:rFonts w:ascii="Book Antiqua" w:hAnsi="Book Antiqua" w:cs="Tahoma"/>
        </w:rPr>
        <w:t xml:space="preserve">While member States improve domestic measures for biodiversity conservation, </w:t>
      </w:r>
      <w:proofErr w:type="spellStart"/>
      <w:r>
        <w:rPr>
          <w:rFonts w:ascii="Book Antiqua" w:hAnsi="Book Antiqua" w:cs="Tahoma"/>
        </w:rPr>
        <w:t>subregional</w:t>
      </w:r>
      <w:proofErr w:type="spellEnd"/>
      <w:r>
        <w:rPr>
          <w:rFonts w:ascii="Book Antiqua" w:hAnsi="Book Antiqua" w:cs="Tahoma"/>
        </w:rPr>
        <w:t xml:space="preserve"> or multilateral cooperation could focus on </w:t>
      </w:r>
      <w:r>
        <w:rPr>
          <w:rFonts w:ascii="Book Antiqua" w:hAnsi="Book Antiqua"/>
        </w:rPr>
        <w:t xml:space="preserve">“connectivity conservation” that promotes enhancing ecological flows and corridors between protected areas and other patches of habitat to support species movement between fragmented habitats. In this regard, protected areas and intact habitats in transboundary areas can serve as the key focus of enhanced collaboration between NEASPEC member States on connectivity conservation.  </w:t>
      </w:r>
    </w:p>
    <w:p w14:paraId="064DF6F9" w14:textId="77777777" w:rsidR="00D431B4" w:rsidRDefault="00D431B4" w:rsidP="00D431B4">
      <w:pPr>
        <w:spacing w:after="0"/>
        <w:jc w:val="both"/>
        <w:rPr>
          <w:rFonts w:ascii="Book Antiqua" w:hAnsi="Book Antiqua" w:cs="Tahoma"/>
        </w:rPr>
      </w:pPr>
    </w:p>
    <w:p w14:paraId="78086A2C" w14:textId="77777777" w:rsidR="00D431B4" w:rsidRDefault="00D431B4" w:rsidP="00D431B4">
      <w:pPr>
        <w:spacing w:after="0"/>
        <w:jc w:val="both"/>
        <w:rPr>
          <w:rFonts w:ascii="Book Antiqua" w:hAnsi="Book Antiqua"/>
        </w:rPr>
      </w:pPr>
      <w:r>
        <w:rPr>
          <w:rFonts w:ascii="Book Antiqua" w:hAnsi="Book Antiqua" w:cs="Tahoma"/>
        </w:rPr>
        <w:t xml:space="preserve">In this regard, </w:t>
      </w:r>
      <w:r>
        <w:rPr>
          <w:rFonts w:ascii="Book Antiqua" w:hAnsi="Book Antiqua"/>
        </w:rPr>
        <w:t>NEASPEC could continue to work on the conservation of its six flagship species, namely, Amur tiger (</w:t>
      </w:r>
      <w:r>
        <w:rPr>
          <w:rFonts w:ascii="Book Antiqua" w:hAnsi="Book Antiqua"/>
          <w:i/>
        </w:rPr>
        <w:t xml:space="preserve">Panther </w:t>
      </w:r>
      <w:proofErr w:type="spellStart"/>
      <w:r>
        <w:rPr>
          <w:rFonts w:ascii="Book Antiqua" w:hAnsi="Book Antiqua"/>
          <w:i/>
        </w:rPr>
        <w:t>tigris</w:t>
      </w:r>
      <w:proofErr w:type="spellEnd"/>
      <w:r>
        <w:rPr>
          <w:rFonts w:ascii="Book Antiqua" w:hAnsi="Book Antiqua"/>
          <w:i/>
        </w:rPr>
        <w:t xml:space="preserve"> </w:t>
      </w:r>
      <w:proofErr w:type="spellStart"/>
      <w:r>
        <w:rPr>
          <w:rFonts w:ascii="Book Antiqua" w:hAnsi="Book Antiqua"/>
          <w:i/>
        </w:rPr>
        <w:t>altaica</w:t>
      </w:r>
      <w:proofErr w:type="spellEnd"/>
      <w:r>
        <w:rPr>
          <w:rFonts w:ascii="Book Antiqua" w:hAnsi="Book Antiqua"/>
        </w:rPr>
        <w:t>), Amur leopard (</w:t>
      </w:r>
      <w:r>
        <w:rPr>
          <w:rFonts w:ascii="Book Antiqua" w:hAnsi="Book Antiqua"/>
          <w:i/>
        </w:rPr>
        <w:t xml:space="preserve">Panthera </w:t>
      </w:r>
      <w:proofErr w:type="spellStart"/>
      <w:r>
        <w:rPr>
          <w:rFonts w:ascii="Book Antiqua" w:hAnsi="Book Antiqua"/>
          <w:i/>
        </w:rPr>
        <w:t>pardus</w:t>
      </w:r>
      <w:proofErr w:type="spellEnd"/>
      <w:r>
        <w:rPr>
          <w:rFonts w:ascii="Book Antiqua" w:hAnsi="Book Antiqua"/>
          <w:i/>
        </w:rPr>
        <w:t xml:space="preserve"> </w:t>
      </w:r>
      <w:proofErr w:type="spellStart"/>
      <w:r>
        <w:rPr>
          <w:rFonts w:ascii="Book Antiqua" w:hAnsi="Book Antiqua"/>
          <w:i/>
        </w:rPr>
        <w:t>orientalis</w:t>
      </w:r>
      <w:proofErr w:type="spellEnd"/>
      <w:r>
        <w:rPr>
          <w:rFonts w:ascii="Book Antiqua" w:hAnsi="Book Antiqua"/>
        </w:rPr>
        <w:t>), Snow leopard (</w:t>
      </w:r>
      <w:r>
        <w:rPr>
          <w:rFonts w:ascii="Book Antiqua" w:hAnsi="Book Antiqua"/>
          <w:i/>
        </w:rPr>
        <w:t>Panthera uncia</w:t>
      </w:r>
      <w:r>
        <w:rPr>
          <w:rFonts w:ascii="Book Antiqua" w:hAnsi="Book Antiqua"/>
        </w:rPr>
        <w:t>), Black-faced Spoonbill (</w:t>
      </w:r>
      <w:proofErr w:type="spellStart"/>
      <w:r>
        <w:rPr>
          <w:rFonts w:ascii="Book Antiqua" w:hAnsi="Book Antiqua"/>
          <w:i/>
        </w:rPr>
        <w:t>Platalea</w:t>
      </w:r>
      <w:proofErr w:type="spellEnd"/>
      <w:r>
        <w:rPr>
          <w:rFonts w:ascii="Book Antiqua" w:hAnsi="Book Antiqua"/>
          <w:i/>
        </w:rPr>
        <w:t xml:space="preserve"> minor</w:t>
      </w:r>
      <w:r>
        <w:rPr>
          <w:rFonts w:ascii="Book Antiqua" w:hAnsi="Book Antiqua"/>
        </w:rPr>
        <w:t>), White-</w:t>
      </w:r>
      <w:proofErr w:type="spellStart"/>
      <w:r>
        <w:rPr>
          <w:rFonts w:ascii="Book Antiqua" w:hAnsi="Book Antiqua"/>
        </w:rPr>
        <w:t>naped</w:t>
      </w:r>
      <w:proofErr w:type="spellEnd"/>
      <w:r>
        <w:rPr>
          <w:rFonts w:ascii="Book Antiqua" w:hAnsi="Book Antiqua"/>
        </w:rPr>
        <w:t xml:space="preserve"> Crane (</w:t>
      </w:r>
      <w:r>
        <w:rPr>
          <w:rFonts w:ascii="Book Antiqua" w:hAnsi="Book Antiqua"/>
          <w:i/>
        </w:rPr>
        <w:t xml:space="preserve">Grus </w:t>
      </w:r>
      <w:proofErr w:type="spellStart"/>
      <w:r>
        <w:rPr>
          <w:rFonts w:ascii="Book Antiqua" w:hAnsi="Book Antiqua"/>
          <w:i/>
        </w:rPr>
        <w:t>vipio</w:t>
      </w:r>
      <w:proofErr w:type="spellEnd"/>
      <w:r>
        <w:rPr>
          <w:rFonts w:ascii="Book Antiqua" w:hAnsi="Book Antiqua"/>
        </w:rPr>
        <w:t>) and Hooded Crane (</w:t>
      </w:r>
      <w:r>
        <w:rPr>
          <w:rFonts w:ascii="Book Antiqua" w:hAnsi="Book Antiqua"/>
          <w:i/>
        </w:rPr>
        <w:t xml:space="preserve">Grus </w:t>
      </w:r>
      <w:proofErr w:type="spellStart"/>
      <w:r>
        <w:rPr>
          <w:rFonts w:ascii="Book Antiqua" w:hAnsi="Book Antiqua"/>
          <w:i/>
        </w:rPr>
        <w:t>monachus</w:t>
      </w:r>
      <w:proofErr w:type="spellEnd"/>
      <w:r>
        <w:rPr>
          <w:rFonts w:ascii="Book Antiqua" w:hAnsi="Book Antiqua"/>
        </w:rPr>
        <w:t>), which was identified by the Nature Conservation Strategy in 2007</w:t>
      </w:r>
      <w:r>
        <w:rPr>
          <w:rStyle w:val="FootnoteReference"/>
          <w:rFonts w:ascii="Book Antiqua" w:hAnsi="Book Antiqua"/>
        </w:rPr>
        <w:footnoteReference w:id="10"/>
      </w:r>
      <w:r>
        <w:rPr>
          <w:rFonts w:ascii="Book Antiqua" w:hAnsi="Book Antiqua"/>
        </w:rPr>
        <w:t xml:space="preserve">. These species do not necessarily inhabit the territories of all NEASPEC member States. However, they connect multiple countries into one ecologically borderless community. Their ecological characteristics have significant potential in bringing multilateral actions to conserve wider habitats and biodiversity. </w:t>
      </w:r>
    </w:p>
    <w:p w14:paraId="75DE1144" w14:textId="77777777" w:rsidR="00D431B4" w:rsidRDefault="00D431B4" w:rsidP="00D431B4">
      <w:pPr>
        <w:spacing w:after="0" w:line="300" w:lineRule="exact"/>
        <w:jc w:val="both"/>
        <w:rPr>
          <w:rFonts w:ascii="Book Antiqua" w:hAnsi="Book Antiqua" w:cs="Tahoma"/>
        </w:rPr>
      </w:pPr>
    </w:p>
    <w:p w14:paraId="11A153A7" w14:textId="42488465" w:rsidR="00D431B4" w:rsidRDefault="00D431B4" w:rsidP="00D431B4">
      <w:pPr>
        <w:spacing w:after="0" w:line="300" w:lineRule="exact"/>
        <w:jc w:val="both"/>
        <w:rPr>
          <w:rFonts w:ascii="Book Antiqua" w:hAnsi="Book Antiqua" w:cs="Tahoma"/>
        </w:rPr>
      </w:pPr>
      <w:r>
        <w:rPr>
          <w:rFonts w:ascii="Book Antiqua" w:hAnsi="Book Antiqua" w:cs="Tahoma"/>
        </w:rPr>
        <w:t xml:space="preserve">Furthermore, NEASPEC connects its work with the post-2020 Global Biodiversity Framework that pursue action-oriented targets under (a) reducing threats to biodiversity, (b) meeting people’s needs through sustainable use and benefit-sharing, and (c) tools and solutions for implementation and mainstreaming. The Framework aims to put biodiversity on a path to </w:t>
      </w:r>
      <w:r>
        <w:rPr>
          <w:rFonts w:ascii="Book Antiqua" w:hAnsi="Book Antiqua" w:cs="Tahoma"/>
        </w:rPr>
        <w:lastRenderedPageBreak/>
        <w:t>recovery for the benefit of planet and people by 2030 and achieve no net loss in the area and integrity of freshwater, marine and terrestrial ecosystems.</w:t>
      </w:r>
      <w:r>
        <w:rPr>
          <w:rStyle w:val="FootnoteReference"/>
          <w:rFonts w:ascii="Book Antiqua" w:hAnsi="Book Antiqua"/>
        </w:rPr>
        <w:footnoteReference w:id="11"/>
      </w:r>
      <w:r>
        <w:rPr>
          <w:rFonts w:ascii="Book Antiqua" w:hAnsi="Book Antiqua" w:cs="Tahoma"/>
        </w:rPr>
        <w:t xml:space="preserve"> </w:t>
      </w:r>
    </w:p>
    <w:p w14:paraId="730BFB18" w14:textId="77777777" w:rsidR="007D732A" w:rsidRDefault="007D732A" w:rsidP="00D431B4">
      <w:pPr>
        <w:spacing w:after="0" w:line="300" w:lineRule="exact"/>
        <w:jc w:val="both"/>
        <w:rPr>
          <w:rFonts w:ascii="Book Antiqua" w:hAnsi="Book Antiqua" w:cs="Tahoma"/>
        </w:rPr>
      </w:pPr>
    </w:p>
    <w:p w14:paraId="7512D647" w14:textId="77777777" w:rsidR="00D431B4" w:rsidRPr="00C951BD" w:rsidRDefault="00D431B4" w:rsidP="00D431B4">
      <w:pPr>
        <w:pStyle w:val="1"/>
        <w:numPr>
          <w:ilvl w:val="1"/>
          <w:numId w:val="11"/>
        </w:numPr>
        <w:tabs>
          <w:tab w:val="left" w:pos="180"/>
        </w:tabs>
        <w:spacing w:after="240"/>
        <w:ind w:left="180" w:hanging="180"/>
        <w:rPr>
          <w:rFonts w:ascii="Book Antiqua" w:hAnsi="Book Antiqua"/>
          <w:b/>
        </w:rPr>
      </w:pPr>
      <w:r w:rsidRPr="00C951BD">
        <w:rPr>
          <w:rFonts w:ascii="Book Antiqua" w:hAnsi="Book Antiqua"/>
          <w:b/>
        </w:rPr>
        <w:t xml:space="preserve">Marine Protected Areas </w:t>
      </w:r>
    </w:p>
    <w:p w14:paraId="6EB34CDD" w14:textId="76A69258" w:rsidR="00D431B4" w:rsidRDefault="00D431B4" w:rsidP="00D431B4">
      <w:pPr>
        <w:tabs>
          <w:tab w:val="left" w:pos="180"/>
        </w:tabs>
        <w:jc w:val="both"/>
        <w:rPr>
          <w:rFonts w:ascii="Book Antiqua" w:hAnsi="Book Antiqua"/>
        </w:rPr>
      </w:pPr>
      <w:r>
        <w:rPr>
          <w:rFonts w:ascii="Book Antiqua" w:hAnsi="Book Antiqua"/>
        </w:rPr>
        <w:t xml:space="preserve">The interface of biodiversity and people’s need is also an important aspect for managing marine areas in North-East Asia. China, Japan, </w:t>
      </w:r>
      <w:r w:rsidR="00EF7627">
        <w:rPr>
          <w:rFonts w:ascii="Book Antiqua" w:hAnsi="Book Antiqua"/>
        </w:rPr>
        <w:t xml:space="preserve">the </w:t>
      </w:r>
      <w:r>
        <w:rPr>
          <w:rFonts w:ascii="Book Antiqua" w:hAnsi="Book Antiqua"/>
        </w:rPr>
        <w:t>Republic of Korea</w:t>
      </w:r>
      <w:r w:rsidR="00CB6B4F">
        <w:rPr>
          <w:rFonts w:ascii="Book Antiqua" w:hAnsi="Book Antiqua"/>
        </w:rPr>
        <w:t>,</w:t>
      </w:r>
      <w:r>
        <w:rPr>
          <w:rFonts w:ascii="Book Antiqua" w:hAnsi="Book Antiqua"/>
        </w:rPr>
        <w:t xml:space="preserve"> and the Russian Federation are among the world largest marine capture producers, accounting for over 25 per cent of the world production. Three counties excluding the Russian Federation are also major players in aquaculture production and among the top 15 producers of the world. Furthermore, many intertidal flats in the Yellow Sea and the East China Sea, providing essential nursery and fishing grounds, are internationally important wetlands as key habitats of migratory birds and provide important ecosystem services as well as livelihoods. </w:t>
      </w:r>
    </w:p>
    <w:p w14:paraId="6F98A9DA" w14:textId="77777777" w:rsidR="00D431B4" w:rsidRDefault="00D431B4" w:rsidP="00D431B4">
      <w:pPr>
        <w:tabs>
          <w:tab w:val="left" w:pos="180"/>
        </w:tabs>
        <w:jc w:val="both"/>
        <w:rPr>
          <w:rFonts w:ascii="Book Antiqua" w:hAnsi="Book Antiqua"/>
        </w:rPr>
      </w:pPr>
      <w:r>
        <w:rPr>
          <w:rFonts w:ascii="Book Antiqua" w:hAnsi="Book Antiqua"/>
        </w:rPr>
        <w:t xml:space="preserve">Fish is also an important part of the animal protein intake for the population in the subregion, particularly in Japan and the Korean peninsula, where the animal protein intake from fish is as high as some countries in the Pacific islands. The importance of fishery resources also highlights the challenge of balancing the biodiversity and conservation objectives and sustainable use of marine resources. Even in well protected areas in the subregion, many issues identified in managing the area are rooted to the question of balancing the anthropocentric impacts, including legal and illegal fishing in and around the sites, linkages of socio-economic aspects with the plans and implementation of the site management for maintaining ecosystem. </w:t>
      </w:r>
    </w:p>
    <w:p w14:paraId="4EB8FBDE" w14:textId="77777777" w:rsidR="00D431B4" w:rsidRDefault="00D431B4" w:rsidP="00D431B4">
      <w:pPr>
        <w:tabs>
          <w:tab w:val="left" w:pos="180"/>
        </w:tabs>
        <w:spacing w:after="240"/>
        <w:jc w:val="both"/>
        <w:rPr>
          <w:rFonts w:ascii="Book Antiqua" w:hAnsi="Book Antiqua"/>
        </w:rPr>
      </w:pPr>
      <w:r>
        <w:rPr>
          <w:rFonts w:ascii="Book Antiqua" w:hAnsi="Book Antiqua"/>
        </w:rPr>
        <w:t xml:space="preserve">In this connection, Marine Protected Areas (MPAs) play a catalytic role in conserving representative samples of biological diversity and associated ecosystems for long-term viability of marine environment and showcasing the ecosystem approach for managing the marine areas. MPAs restrict human activities to protect ecologically critical sites for reproduction and growth of species, serve as focal points and reference sites for education and research on marine environment, and provide grounds for sustainable use of marine areas such as nature-based tourism and other economic activities. For these reasons, North-East Asian countries have established </w:t>
      </w:r>
      <w:proofErr w:type="gramStart"/>
      <w:r>
        <w:rPr>
          <w:rFonts w:ascii="Book Antiqua" w:hAnsi="Book Antiqua"/>
        </w:rPr>
        <w:t>a large number of</w:t>
      </w:r>
      <w:proofErr w:type="gramEnd"/>
      <w:r>
        <w:rPr>
          <w:rFonts w:ascii="Book Antiqua" w:hAnsi="Book Antiqua"/>
        </w:rPr>
        <w:t xml:space="preserve"> MPAs at various administration and legislations with significant variations in terms of characteristics, purposes, institutional settings and regulations in each country’s MPAs. </w:t>
      </w:r>
    </w:p>
    <w:p w14:paraId="29A34E3D" w14:textId="77777777" w:rsidR="00D431B4" w:rsidRDefault="00D431B4" w:rsidP="00D431B4">
      <w:pPr>
        <w:tabs>
          <w:tab w:val="left" w:pos="180"/>
        </w:tabs>
        <w:jc w:val="both"/>
        <w:rPr>
          <w:rFonts w:ascii="Book Antiqua" w:hAnsi="Book Antiqua"/>
        </w:rPr>
      </w:pPr>
      <w:r>
        <w:rPr>
          <w:rFonts w:ascii="Book Antiqua" w:hAnsi="Book Antiqua"/>
        </w:rPr>
        <w:t xml:space="preserve">However, all NEASPEC member States have not reached the Aichi Biodiversity Target 11 nor the SDG Target 14.5, which both set the goal of at least 10 percent of coastal and marine areas to be protected areas. It would partly reflect the importance of the marine areas as fishery ground, linking to the challenge of meeting the qualitative goal of the Aichi Target 11, which is to conserve “through effectively and equitably managed, ecologically representative and </w:t>
      </w:r>
      <w:r>
        <w:rPr>
          <w:rFonts w:ascii="Book Antiqua" w:hAnsi="Book Antiqua"/>
        </w:rPr>
        <w:lastRenderedPageBreak/>
        <w:t xml:space="preserve">well connected systems of protected areas and other effective area-based conservation measures”. </w:t>
      </w:r>
    </w:p>
    <w:p w14:paraId="78FD44C9" w14:textId="77777777" w:rsidR="00D431B4" w:rsidRDefault="00D431B4" w:rsidP="00D431B4">
      <w:pPr>
        <w:tabs>
          <w:tab w:val="left" w:pos="180"/>
        </w:tabs>
        <w:jc w:val="both"/>
        <w:rPr>
          <w:rFonts w:ascii="Book Antiqua" w:hAnsi="Book Antiqua"/>
        </w:rPr>
      </w:pPr>
      <w:r>
        <w:rPr>
          <w:rFonts w:ascii="Book Antiqua" w:hAnsi="Book Antiqua"/>
        </w:rPr>
        <w:t xml:space="preserve">Thus, NEASPEC continues to promote sharing of experiences among and across countries in effective management of MPAs consistent with ecosystem approach, despite the variation in sizes, ecological and geographical context. </w:t>
      </w:r>
    </w:p>
    <w:p w14:paraId="2744CFED" w14:textId="77777777" w:rsidR="00D431B4" w:rsidRPr="00C951BD" w:rsidRDefault="00D431B4" w:rsidP="00D431B4">
      <w:pPr>
        <w:pStyle w:val="1"/>
        <w:numPr>
          <w:ilvl w:val="1"/>
          <w:numId w:val="11"/>
        </w:numPr>
        <w:tabs>
          <w:tab w:val="left" w:pos="180"/>
        </w:tabs>
        <w:spacing w:after="240"/>
        <w:ind w:left="180" w:hanging="180"/>
        <w:rPr>
          <w:rFonts w:ascii="Book Antiqua" w:hAnsi="Book Antiqua"/>
          <w:b/>
        </w:rPr>
      </w:pPr>
      <w:r w:rsidRPr="00C951BD">
        <w:rPr>
          <w:rFonts w:ascii="Book Antiqua" w:hAnsi="Book Antiqua"/>
          <w:b/>
        </w:rPr>
        <w:t xml:space="preserve">Low Carbon Cities </w:t>
      </w:r>
    </w:p>
    <w:p w14:paraId="15E98926" w14:textId="4EAC0A34" w:rsidR="00D431B4" w:rsidRDefault="00D431B4" w:rsidP="00D431B4">
      <w:pPr>
        <w:spacing w:after="0" w:line="300" w:lineRule="exact"/>
        <w:jc w:val="both"/>
        <w:rPr>
          <w:rFonts w:ascii="Book Antiqua" w:hAnsi="Book Antiqua" w:cs="Tahoma"/>
        </w:rPr>
      </w:pPr>
      <w:r>
        <w:rPr>
          <w:rFonts w:ascii="Book Antiqua" w:hAnsi="Book Antiqua" w:cs="Tahoma"/>
        </w:rPr>
        <w:t>Global carbon emissions continue to grow, except the time of the global scale shocks such as financial crisis and recent COVID</w:t>
      </w:r>
      <w:r w:rsidR="00E86C16">
        <w:rPr>
          <w:rFonts w:ascii="Book Antiqua" w:hAnsi="Book Antiqua" w:cs="Tahoma"/>
        </w:rPr>
        <w:t>-</w:t>
      </w:r>
      <w:r>
        <w:rPr>
          <w:rFonts w:ascii="Book Antiqua" w:hAnsi="Book Antiqua" w:cs="Tahoma"/>
        </w:rPr>
        <w:t>19 pandemic. NEASPEC member States include four of the top 10 global carbon dioxide (CO</w:t>
      </w:r>
      <w:r>
        <w:rPr>
          <w:rFonts w:ascii="Book Antiqua" w:hAnsi="Book Antiqua" w:cs="Tahoma"/>
          <w:vertAlign w:val="subscript"/>
        </w:rPr>
        <w:t>2</w:t>
      </w:r>
      <w:r>
        <w:rPr>
          <w:rFonts w:ascii="Book Antiqua" w:hAnsi="Book Antiqua" w:cs="Tahoma"/>
        </w:rPr>
        <w:t>) emitters and leading sources of low carbon technologies and practices. Thus, they have a critical role in changing the trend and speed of climate change. Although carbon intensity per GDP is significantly declining in North-East Asia, the scale of economic expansion overwhelms such trend. In addition, despite the improvement of energy efficiency, per capita CO</w:t>
      </w:r>
      <w:r>
        <w:rPr>
          <w:rFonts w:ascii="Book Antiqua" w:hAnsi="Book Antiqua" w:cs="Tahoma"/>
          <w:vertAlign w:val="subscript"/>
        </w:rPr>
        <w:t>2</w:t>
      </w:r>
      <w:r>
        <w:rPr>
          <w:rFonts w:ascii="Book Antiqua" w:hAnsi="Book Antiqua" w:cs="Tahoma"/>
        </w:rPr>
        <w:t xml:space="preserve"> is increasing, and stay far higher than the world average in all countries (except DRPK) in the subregion. On the other hand, various initiatives for reducing GHG emissions in North-East Asian countries can (</w:t>
      </w:r>
      <w:proofErr w:type="spellStart"/>
      <w:r>
        <w:rPr>
          <w:rFonts w:ascii="Book Antiqua" w:hAnsi="Book Antiqua" w:cs="Tahoma"/>
        </w:rPr>
        <w:t>i</w:t>
      </w:r>
      <w:proofErr w:type="spellEnd"/>
      <w:r>
        <w:rPr>
          <w:rFonts w:ascii="Book Antiqua" w:hAnsi="Book Antiqua" w:cs="Tahoma"/>
        </w:rPr>
        <w:t xml:space="preserve">) showcase their experiences and share lessons learned among the subregion and beyond and (ii) potentially lead to the reduction of global GHG emissions. </w:t>
      </w:r>
    </w:p>
    <w:p w14:paraId="3B3F264F" w14:textId="77777777" w:rsidR="00D431B4" w:rsidRDefault="00D431B4" w:rsidP="00D431B4">
      <w:pPr>
        <w:spacing w:after="0" w:line="300" w:lineRule="exact"/>
        <w:jc w:val="both"/>
        <w:rPr>
          <w:rFonts w:ascii="Book Antiqua" w:hAnsi="Book Antiqua" w:cs="Tahoma"/>
        </w:rPr>
      </w:pPr>
    </w:p>
    <w:p w14:paraId="00AD84B0" w14:textId="299E0BA8" w:rsidR="00D431B4" w:rsidRDefault="00D431B4" w:rsidP="00D431B4">
      <w:pPr>
        <w:spacing w:after="0" w:line="300" w:lineRule="exact"/>
        <w:jc w:val="both"/>
        <w:rPr>
          <w:rFonts w:ascii="Book Antiqua" w:hAnsi="Book Antiqua" w:cs="Tahoma"/>
        </w:rPr>
      </w:pPr>
      <w:r>
        <w:rPr>
          <w:rFonts w:ascii="Book Antiqua" w:hAnsi="Book Antiqua" w:cs="Tahoma"/>
        </w:rPr>
        <w:t>In particular, the process of formulating and communicating “long-term low greenhouse gas emission development strategies (LEDS)”</w:t>
      </w:r>
      <w:r>
        <w:rPr>
          <w:rStyle w:val="FootnoteReference"/>
          <w:rFonts w:ascii="Book Antiqua" w:hAnsi="Book Antiqua"/>
        </w:rPr>
        <w:footnoteReference w:id="12"/>
      </w:r>
      <w:r>
        <w:rPr>
          <w:rFonts w:ascii="Book Antiqua" w:hAnsi="Book Antiqua" w:cs="Tahoma"/>
        </w:rPr>
        <w:t xml:space="preserve"> according to the Paris Agreement (Article 4.19) is expected to further strengthen the existing targets under the Nationally Determined Contribution (NDC) (Table 3). For example, Japan aims to accomplish a “decarbonized society” by reducing 80 percent GHG emissions by 2050 under the LEDS. Apart from sector-specific reduction policies and measures in energy, industry, transport,</w:t>
      </w:r>
      <w:r w:rsidR="00C951BD">
        <w:rPr>
          <w:rFonts w:ascii="Book Antiqua" w:hAnsi="Book Antiqua" w:cs="Tahoma"/>
        </w:rPr>
        <w:t xml:space="preserve"> and</w:t>
      </w:r>
      <w:r>
        <w:rPr>
          <w:rFonts w:ascii="Book Antiqua" w:hAnsi="Book Antiqua" w:cs="Tahoma"/>
        </w:rPr>
        <w:t xml:space="preserve"> residential, the Japan LT-LEDS plans to develop policies for securing sufficient carbon sinks (natural environment conservation, sustainable agriculture, forestry and fisheries), and cross-cutting measures such as innovation, green finance, and business-led international cooperation.</w:t>
      </w:r>
      <w:r>
        <w:rPr>
          <w:rStyle w:val="FootnoteReference"/>
          <w:rFonts w:ascii="Book Antiqua" w:hAnsi="Book Antiqua"/>
        </w:rPr>
        <w:footnoteReference w:id="13"/>
      </w:r>
    </w:p>
    <w:p w14:paraId="1BC7FB34" w14:textId="77777777" w:rsidR="00D431B4" w:rsidRDefault="00D431B4" w:rsidP="00E86C16">
      <w:pPr>
        <w:spacing w:before="100" w:beforeAutospacing="1" w:after="0" w:line="240" w:lineRule="auto"/>
        <w:jc w:val="center"/>
        <w:textAlignment w:val="baseline"/>
        <w:rPr>
          <w:rFonts w:ascii="Book Antiqua" w:eastAsia="Times New Roman" w:hAnsi="Book Antiqua" w:cs="Calibri"/>
        </w:rPr>
      </w:pPr>
      <w:r w:rsidRPr="00E86C16">
        <w:rPr>
          <w:rFonts w:ascii="Candara" w:eastAsia="Times New Roman" w:hAnsi="Candara" w:cs="Calibri"/>
          <w:b/>
          <w:bCs/>
        </w:rPr>
        <w:t>Table 3. Nationally Determined Contribution of NEASPEC Member Countries on GHG</w:t>
      </w:r>
      <w:r>
        <w:rPr>
          <w:rFonts w:ascii="Book Antiqua" w:eastAsia="Times New Roman" w:hAnsi="Book Antiqua" w:cs="Calibri"/>
          <w:b/>
          <w:bCs/>
        </w:rPr>
        <w:t xml:space="preserve"> emissions</w:t>
      </w:r>
    </w:p>
    <w:tbl>
      <w:tblPr>
        <w:tblStyle w:val="TableGrid"/>
        <w:tblW w:w="9918" w:type="dxa"/>
        <w:tblLayout w:type="fixed"/>
        <w:tblLook w:val="04A0" w:firstRow="1" w:lastRow="0" w:firstColumn="1" w:lastColumn="0" w:noHBand="0" w:noVBand="1"/>
      </w:tblPr>
      <w:tblGrid>
        <w:gridCol w:w="1525"/>
        <w:gridCol w:w="1770"/>
        <w:gridCol w:w="1560"/>
        <w:gridCol w:w="1620"/>
        <w:gridCol w:w="1600"/>
        <w:gridCol w:w="1843"/>
      </w:tblGrid>
      <w:tr w:rsidR="00D431B4" w14:paraId="25A81717" w14:textId="77777777" w:rsidTr="0050190E">
        <w:tc>
          <w:tcPr>
            <w:tcW w:w="1525" w:type="dxa"/>
          </w:tcPr>
          <w:p w14:paraId="61FCB442" w14:textId="77777777" w:rsidR="00D431B4" w:rsidRDefault="00D431B4" w:rsidP="009C3D67">
            <w:pPr>
              <w:spacing w:before="100" w:beforeAutospacing="1" w:after="100" w:afterAutospacing="1"/>
              <w:textAlignment w:val="baseline"/>
              <w:rPr>
                <w:rFonts w:eastAsia="Times New Roman" w:cstheme="minorHAnsi"/>
                <w:b/>
                <w:bCs/>
                <w:sz w:val="20"/>
                <w:szCs w:val="20"/>
                <w:lang w:val="en-GB" w:eastAsia="ja-JP"/>
              </w:rPr>
            </w:pPr>
            <w:r>
              <w:rPr>
                <w:rFonts w:eastAsia="Times New Roman" w:cstheme="minorHAnsi"/>
                <w:b/>
                <w:bCs/>
                <w:sz w:val="20"/>
                <w:szCs w:val="20"/>
              </w:rPr>
              <w:t>China</w:t>
            </w:r>
          </w:p>
        </w:tc>
        <w:tc>
          <w:tcPr>
            <w:tcW w:w="1770" w:type="dxa"/>
          </w:tcPr>
          <w:p w14:paraId="369C406D" w14:textId="77777777" w:rsidR="00D431B4" w:rsidRDefault="00D431B4" w:rsidP="009C3D67">
            <w:pPr>
              <w:spacing w:before="100" w:beforeAutospacing="1" w:after="100" w:afterAutospacing="1"/>
              <w:textAlignment w:val="baseline"/>
              <w:rPr>
                <w:rFonts w:eastAsia="Times New Roman" w:cstheme="minorHAnsi"/>
                <w:b/>
                <w:bCs/>
                <w:sz w:val="20"/>
                <w:szCs w:val="20"/>
                <w:lang w:val="en-GB" w:eastAsia="ja-JP"/>
              </w:rPr>
            </w:pPr>
            <w:r>
              <w:rPr>
                <w:rFonts w:eastAsia="Times New Roman" w:cstheme="minorHAnsi"/>
                <w:b/>
                <w:bCs/>
                <w:sz w:val="20"/>
                <w:szCs w:val="20"/>
              </w:rPr>
              <w:t>DPRK</w:t>
            </w:r>
          </w:p>
        </w:tc>
        <w:tc>
          <w:tcPr>
            <w:tcW w:w="1560" w:type="dxa"/>
          </w:tcPr>
          <w:p w14:paraId="23605BBC" w14:textId="77777777" w:rsidR="00D431B4" w:rsidRDefault="00D431B4" w:rsidP="009C3D67">
            <w:pPr>
              <w:spacing w:before="100" w:beforeAutospacing="1" w:after="100" w:afterAutospacing="1"/>
              <w:textAlignment w:val="baseline"/>
              <w:rPr>
                <w:rFonts w:eastAsia="Times New Roman" w:cstheme="minorHAnsi"/>
                <w:b/>
                <w:bCs/>
                <w:sz w:val="20"/>
                <w:szCs w:val="20"/>
                <w:lang w:val="en-GB" w:eastAsia="ja-JP"/>
              </w:rPr>
            </w:pPr>
            <w:r>
              <w:rPr>
                <w:rFonts w:eastAsia="Times New Roman" w:cstheme="minorHAnsi"/>
                <w:b/>
                <w:bCs/>
                <w:sz w:val="20"/>
                <w:szCs w:val="20"/>
              </w:rPr>
              <w:t>Japan</w:t>
            </w:r>
          </w:p>
        </w:tc>
        <w:tc>
          <w:tcPr>
            <w:tcW w:w="1620" w:type="dxa"/>
          </w:tcPr>
          <w:p w14:paraId="42ABEF5F" w14:textId="77777777" w:rsidR="00D431B4" w:rsidRDefault="00D431B4" w:rsidP="009C3D67">
            <w:pPr>
              <w:spacing w:before="100" w:beforeAutospacing="1" w:after="100" w:afterAutospacing="1"/>
              <w:textAlignment w:val="baseline"/>
              <w:rPr>
                <w:rFonts w:eastAsia="Times New Roman" w:cstheme="minorHAnsi"/>
                <w:b/>
                <w:bCs/>
                <w:sz w:val="20"/>
                <w:szCs w:val="20"/>
                <w:lang w:val="en-GB" w:eastAsia="ja-JP"/>
              </w:rPr>
            </w:pPr>
            <w:r>
              <w:rPr>
                <w:rFonts w:eastAsia="Times New Roman" w:cstheme="minorHAnsi"/>
                <w:b/>
                <w:bCs/>
                <w:sz w:val="20"/>
                <w:szCs w:val="20"/>
              </w:rPr>
              <w:t>Mongolia</w:t>
            </w:r>
          </w:p>
        </w:tc>
        <w:tc>
          <w:tcPr>
            <w:tcW w:w="1600" w:type="dxa"/>
          </w:tcPr>
          <w:p w14:paraId="590AF291" w14:textId="77777777" w:rsidR="00D431B4" w:rsidRDefault="00D431B4" w:rsidP="009C3D67">
            <w:pPr>
              <w:spacing w:before="100" w:beforeAutospacing="1" w:after="100" w:afterAutospacing="1"/>
              <w:textAlignment w:val="baseline"/>
              <w:rPr>
                <w:rFonts w:eastAsia="Times New Roman" w:cstheme="minorHAnsi"/>
                <w:b/>
                <w:bCs/>
                <w:sz w:val="20"/>
                <w:szCs w:val="20"/>
                <w:lang w:val="en-GB" w:eastAsia="ja-JP"/>
              </w:rPr>
            </w:pPr>
            <w:r>
              <w:rPr>
                <w:rFonts w:eastAsia="Times New Roman" w:cstheme="minorHAnsi"/>
                <w:b/>
                <w:bCs/>
                <w:sz w:val="20"/>
                <w:szCs w:val="20"/>
              </w:rPr>
              <w:t>ROK</w:t>
            </w:r>
          </w:p>
        </w:tc>
        <w:tc>
          <w:tcPr>
            <w:tcW w:w="1843" w:type="dxa"/>
          </w:tcPr>
          <w:p w14:paraId="14088377" w14:textId="77777777" w:rsidR="00D431B4" w:rsidRDefault="00D431B4" w:rsidP="009C3D67">
            <w:pPr>
              <w:spacing w:before="100" w:beforeAutospacing="1" w:after="100" w:afterAutospacing="1"/>
              <w:textAlignment w:val="baseline"/>
              <w:rPr>
                <w:rFonts w:eastAsia="Times New Roman" w:cstheme="minorHAnsi"/>
                <w:b/>
                <w:bCs/>
                <w:sz w:val="20"/>
                <w:szCs w:val="20"/>
                <w:lang w:val="en-GB" w:eastAsia="ja-JP"/>
              </w:rPr>
            </w:pPr>
            <w:r>
              <w:rPr>
                <w:rFonts w:eastAsia="Times New Roman" w:cstheme="minorHAnsi"/>
                <w:b/>
                <w:bCs/>
                <w:sz w:val="20"/>
                <w:szCs w:val="20"/>
              </w:rPr>
              <w:t>Russian Federation</w:t>
            </w:r>
          </w:p>
        </w:tc>
      </w:tr>
      <w:tr w:rsidR="00D431B4" w14:paraId="0AEF10FA" w14:textId="77777777" w:rsidTr="0050190E">
        <w:tc>
          <w:tcPr>
            <w:tcW w:w="1525" w:type="dxa"/>
            <w:tcBorders>
              <w:bottom w:val="single" w:sz="4" w:space="0" w:color="auto"/>
            </w:tcBorders>
          </w:tcPr>
          <w:p w14:paraId="3C8AA34C" w14:textId="77777777" w:rsidR="00D431B4" w:rsidRDefault="00D431B4" w:rsidP="009C3D67">
            <w:pPr>
              <w:textAlignment w:val="baseline"/>
              <w:rPr>
                <w:rFonts w:eastAsia="Times New Roman" w:cstheme="minorHAnsi"/>
                <w:sz w:val="18"/>
                <w:szCs w:val="18"/>
                <w:lang w:val="en-GB" w:eastAsia="ja-JP"/>
              </w:rPr>
            </w:pPr>
            <w:r>
              <w:rPr>
                <w:rFonts w:eastAsia="Times New Roman" w:cstheme="minorHAnsi"/>
                <w:sz w:val="18"/>
                <w:szCs w:val="18"/>
                <w:lang w:eastAsia="ja-JP"/>
              </w:rPr>
              <w:t>By 2030:</w:t>
            </w:r>
            <w:r>
              <w:rPr>
                <w:rFonts w:eastAsia="Times New Roman" w:cstheme="minorHAnsi"/>
                <w:sz w:val="18"/>
                <w:szCs w:val="18"/>
                <w:lang w:val="en-GB" w:eastAsia="ja-JP"/>
              </w:rPr>
              <w:t> </w:t>
            </w:r>
          </w:p>
          <w:p w14:paraId="2DA78190" w14:textId="77777777" w:rsidR="00D431B4" w:rsidRDefault="00D431B4" w:rsidP="009C3D67">
            <w:pPr>
              <w:textAlignment w:val="baseline"/>
              <w:rPr>
                <w:rFonts w:eastAsia="Times New Roman" w:cstheme="minorHAnsi"/>
                <w:sz w:val="18"/>
                <w:szCs w:val="18"/>
                <w:lang w:val="en-GB" w:eastAsia="ja-JP"/>
              </w:rPr>
            </w:pPr>
            <w:r>
              <w:rPr>
                <w:rFonts w:eastAsia="Times New Roman" w:cstheme="minorHAnsi"/>
                <w:sz w:val="18"/>
                <w:szCs w:val="18"/>
                <w:lang w:eastAsia="ja-JP"/>
              </w:rPr>
              <w:t>• the peaking of CO</w:t>
            </w:r>
            <w:r>
              <w:rPr>
                <w:rFonts w:eastAsia="Times New Roman" w:cstheme="minorHAnsi"/>
                <w:sz w:val="18"/>
                <w:szCs w:val="18"/>
                <w:vertAlign w:val="subscript"/>
                <w:lang w:eastAsia="ja-JP"/>
              </w:rPr>
              <w:t>2</w:t>
            </w:r>
            <w:r>
              <w:rPr>
                <w:rFonts w:eastAsia="Times New Roman" w:cstheme="minorHAnsi"/>
                <w:sz w:val="18"/>
                <w:szCs w:val="18"/>
                <w:lang w:eastAsia="ja-JP"/>
              </w:rPr>
              <w:t xml:space="preserve"> emissions by around 2030 (with best efforts to peak earlier) </w:t>
            </w:r>
            <w:r>
              <w:rPr>
                <w:rFonts w:eastAsia="Times New Roman" w:cstheme="minorHAnsi"/>
                <w:sz w:val="18"/>
                <w:szCs w:val="18"/>
                <w:lang w:val="en-GB" w:eastAsia="ja-JP"/>
              </w:rPr>
              <w:t> </w:t>
            </w:r>
          </w:p>
          <w:p w14:paraId="0E223AD2" w14:textId="77777777" w:rsidR="00D431B4" w:rsidRDefault="00D431B4" w:rsidP="009C3D67">
            <w:pPr>
              <w:textAlignment w:val="baseline"/>
              <w:rPr>
                <w:rFonts w:eastAsia="Times New Roman" w:cstheme="minorHAnsi"/>
                <w:sz w:val="18"/>
                <w:szCs w:val="18"/>
                <w:lang w:val="en-GB" w:eastAsia="ja-JP"/>
              </w:rPr>
            </w:pPr>
            <w:r>
              <w:rPr>
                <w:rFonts w:eastAsia="Times New Roman" w:cstheme="minorHAnsi"/>
                <w:sz w:val="18"/>
                <w:szCs w:val="18"/>
                <w:lang w:eastAsia="ja-JP"/>
              </w:rPr>
              <w:t>• To lower per GDP CO</w:t>
            </w:r>
            <w:r>
              <w:rPr>
                <w:rFonts w:eastAsia="Times New Roman" w:cstheme="minorHAnsi"/>
                <w:sz w:val="18"/>
                <w:szCs w:val="18"/>
                <w:vertAlign w:val="subscript"/>
                <w:lang w:eastAsia="ja-JP"/>
              </w:rPr>
              <w:t>2</w:t>
            </w:r>
            <w:r>
              <w:rPr>
                <w:rFonts w:eastAsia="Times New Roman" w:cstheme="minorHAnsi"/>
                <w:sz w:val="18"/>
                <w:szCs w:val="18"/>
                <w:lang w:eastAsia="ja-JP"/>
              </w:rPr>
              <w:t xml:space="preserve"> </w:t>
            </w:r>
            <w:r>
              <w:rPr>
                <w:rFonts w:eastAsia="Times New Roman" w:cstheme="minorHAnsi"/>
                <w:sz w:val="18"/>
                <w:szCs w:val="18"/>
                <w:lang w:eastAsia="ja-JP"/>
              </w:rPr>
              <w:lastRenderedPageBreak/>
              <w:t>emissions by 60% to 65% from the 2005 level </w:t>
            </w:r>
            <w:r>
              <w:rPr>
                <w:rFonts w:eastAsia="Times New Roman" w:cstheme="minorHAnsi"/>
                <w:sz w:val="18"/>
                <w:szCs w:val="18"/>
                <w:lang w:val="en-GB" w:eastAsia="ja-JP"/>
              </w:rPr>
              <w:t> </w:t>
            </w:r>
          </w:p>
          <w:p w14:paraId="52374508" w14:textId="77777777" w:rsidR="00D431B4" w:rsidRDefault="00D431B4" w:rsidP="009C3D67">
            <w:pPr>
              <w:textAlignment w:val="baseline"/>
              <w:rPr>
                <w:rFonts w:eastAsia="Times New Roman" w:cstheme="minorHAnsi"/>
                <w:sz w:val="18"/>
                <w:szCs w:val="18"/>
                <w:lang w:val="en-GB" w:eastAsia="ja-JP"/>
              </w:rPr>
            </w:pPr>
          </w:p>
        </w:tc>
        <w:tc>
          <w:tcPr>
            <w:tcW w:w="1770" w:type="dxa"/>
            <w:tcBorders>
              <w:bottom w:val="single" w:sz="4" w:space="0" w:color="auto"/>
            </w:tcBorders>
          </w:tcPr>
          <w:p w14:paraId="2D602D55" w14:textId="77777777" w:rsidR="00D431B4" w:rsidRDefault="00D431B4" w:rsidP="009C3D67">
            <w:pPr>
              <w:textAlignment w:val="baseline"/>
              <w:rPr>
                <w:rFonts w:ascii="Calibri" w:eastAsia="Times New Roman" w:hAnsi="Calibri" w:cs="Calibri"/>
                <w:sz w:val="18"/>
                <w:szCs w:val="18"/>
                <w:lang w:eastAsia="ja-JP"/>
              </w:rPr>
            </w:pPr>
            <w:r>
              <w:rPr>
                <w:rFonts w:ascii="Calibri" w:eastAsia="Times New Roman" w:hAnsi="Calibri" w:cs="Calibri"/>
                <w:sz w:val="18"/>
                <w:szCs w:val="18"/>
                <w:lang w:eastAsia="ja-JP"/>
              </w:rPr>
              <w:lastRenderedPageBreak/>
              <w:t>[BAU Scenario] GHG emission projections: 187.73 million tCO</w:t>
            </w:r>
            <w:r>
              <w:rPr>
                <w:rFonts w:ascii="Calibri" w:eastAsia="Times New Roman" w:hAnsi="Calibri" w:cs="Calibri"/>
                <w:sz w:val="18"/>
                <w:szCs w:val="18"/>
                <w:vertAlign w:val="subscript"/>
                <w:lang w:eastAsia="ja-JP"/>
              </w:rPr>
              <w:t>2</w:t>
            </w:r>
            <w:r>
              <w:rPr>
                <w:rFonts w:ascii="Calibri" w:eastAsia="Times New Roman" w:hAnsi="Calibri" w:cs="Calibri"/>
                <w:sz w:val="18"/>
                <w:szCs w:val="18"/>
                <w:lang w:eastAsia="ja-JP"/>
              </w:rPr>
              <w:t>e. in 2030. </w:t>
            </w:r>
            <w:r>
              <w:rPr>
                <w:rFonts w:ascii="Calibri" w:eastAsia="Times New Roman" w:hAnsi="Calibri" w:cs="Calibri"/>
                <w:sz w:val="18"/>
                <w:szCs w:val="18"/>
                <w:lang w:val="en-GB" w:eastAsia="ja-JP"/>
              </w:rPr>
              <w:t> </w:t>
            </w:r>
          </w:p>
          <w:p w14:paraId="5DB7DF28" w14:textId="77777777" w:rsidR="00D431B4" w:rsidRDefault="00D431B4" w:rsidP="009C3D67">
            <w:pPr>
              <w:textAlignment w:val="baseline"/>
              <w:rPr>
                <w:rFonts w:ascii="Calibri" w:eastAsia="Times New Roman" w:hAnsi="Calibri" w:cs="Calibri"/>
                <w:sz w:val="18"/>
                <w:szCs w:val="18"/>
                <w:lang w:eastAsia="ja-JP"/>
              </w:rPr>
            </w:pPr>
          </w:p>
          <w:p w14:paraId="71F8F418" w14:textId="77777777" w:rsidR="00D431B4" w:rsidRDefault="00D431B4" w:rsidP="009C3D67">
            <w:pPr>
              <w:textAlignment w:val="baseline"/>
              <w:rPr>
                <w:rFonts w:ascii="Times New Roman" w:eastAsia="Times New Roman" w:hAnsi="Times New Roman" w:cs="Times New Roman"/>
                <w:sz w:val="18"/>
                <w:szCs w:val="18"/>
                <w:lang w:val="en-GB" w:eastAsia="ja-JP"/>
              </w:rPr>
            </w:pPr>
            <w:r>
              <w:rPr>
                <w:rFonts w:ascii="Calibri" w:eastAsia="Times New Roman" w:hAnsi="Calibri" w:cs="Calibri"/>
                <w:sz w:val="18"/>
                <w:szCs w:val="18"/>
                <w:lang w:eastAsia="ja-JP"/>
              </w:rPr>
              <w:t xml:space="preserve">[Unconditional contribution] To </w:t>
            </w:r>
            <w:r>
              <w:rPr>
                <w:rFonts w:ascii="Calibri" w:eastAsia="Times New Roman" w:hAnsi="Calibri" w:cs="Calibri"/>
                <w:sz w:val="18"/>
                <w:szCs w:val="18"/>
                <w:lang w:eastAsia="ja-JP"/>
              </w:rPr>
              <w:lastRenderedPageBreak/>
              <w:t xml:space="preserve">reduce GHG emissions by 8.0% by 2030 </w:t>
            </w:r>
          </w:p>
          <w:p w14:paraId="76B93281" w14:textId="77777777" w:rsidR="00D431B4" w:rsidRDefault="00D431B4" w:rsidP="009C3D67">
            <w:pPr>
              <w:textAlignment w:val="baseline"/>
              <w:rPr>
                <w:rFonts w:eastAsia="Times New Roman" w:cstheme="minorHAnsi"/>
                <w:sz w:val="18"/>
                <w:szCs w:val="18"/>
                <w:lang w:val="en-GB" w:eastAsia="ja-JP"/>
              </w:rPr>
            </w:pPr>
            <w:r>
              <w:rPr>
                <w:rFonts w:ascii="Calibri" w:eastAsia="Times New Roman" w:hAnsi="Calibri" w:cs="Calibri"/>
                <w:sz w:val="18"/>
                <w:szCs w:val="18"/>
                <w:lang w:eastAsia="ja-JP"/>
              </w:rPr>
              <w:t>[Conditional contribution]</w:t>
            </w:r>
            <w:r>
              <w:rPr>
                <w:rFonts w:ascii="Calibri" w:eastAsia="Times New Roman" w:hAnsi="Calibri" w:cs="Calibri"/>
                <w:sz w:val="18"/>
                <w:szCs w:val="18"/>
                <w:lang w:val="en-GB" w:eastAsia="ja-JP"/>
              </w:rPr>
              <w:t> </w:t>
            </w:r>
            <w:r>
              <w:rPr>
                <w:rFonts w:ascii="Calibri" w:eastAsia="Times New Roman" w:hAnsi="Calibri" w:cs="Calibri"/>
                <w:sz w:val="18"/>
                <w:szCs w:val="18"/>
                <w:lang w:eastAsia="ja-JP"/>
              </w:rPr>
              <w:t>Further reduction by 32.25% if international support is received</w:t>
            </w:r>
          </w:p>
        </w:tc>
        <w:tc>
          <w:tcPr>
            <w:tcW w:w="1560" w:type="dxa"/>
            <w:tcBorders>
              <w:bottom w:val="single" w:sz="4" w:space="0" w:color="auto"/>
            </w:tcBorders>
          </w:tcPr>
          <w:p w14:paraId="39D36D62" w14:textId="77777777" w:rsidR="00D431B4" w:rsidRDefault="00D431B4" w:rsidP="009C3D67">
            <w:pPr>
              <w:textAlignment w:val="baseline"/>
              <w:rPr>
                <w:rFonts w:eastAsia="Times New Roman" w:cstheme="minorHAnsi"/>
                <w:sz w:val="18"/>
                <w:szCs w:val="18"/>
                <w:lang w:val="en-GB" w:eastAsia="ja-JP"/>
              </w:rPr>
            </w:pPr>
            <w:r>
              <w:rPr>
                <w:rFonts w:eastAsia="Times New Roman" w:cstheme="minorHAnsi"/>
                <w:sz w:val="18"/>
                <w:szCs w:val="18"/>
                <w:lang w:eastAsia="ja-JP"/>
              </w:rPr>
              <w:lastRenderedPageBreak/>
              <w:t xml:space="preserve">26.0% reduction by fiscal year (FY) 2030 compared to FY 2013 (25.4% reduction compared to FY 2005) (approximately </w:t>
            </w:r>
            <w:r>
              <w:rPr>
                <w:rFonts w:eastAsia="Times New Roman" w:cstheme="minorHAnsi"/>
                <w:sz w:val="18"/>
                <w:szCs w:val="18"/>
                <w:lang w:eastAsia="ja-JP"/>
              </w:rPr>
              <w:lastRenderedPageBreak/>
              <w:t>1.042 billion t-CO</w:t>
            </w:r>
            <w:r>
              <w:rPr>
                <w:rFonts w:eastAsia="Times New Roman" w:cstheme="minorHAnsi"/>
                <w:sz w:val="18"/>
                <w:szCs w:val="18"/>
                <w:vertAlign w:val="subscript"/>
                <w:lang w:eastAsia="ja-JP"/>
              </w:rPr>
              <w:t>2</w:t>
            </w:r>
            <w:r>
              <w:rPr>
                <w:rFonts w:eastAsia="Times New Roman" w:cstheme="minorHAnsi"/>
                <w:sz w:val="18"/>
                <w:szCs w:val="18"/>
                <w:lang w:eastAsia="ja-JP"/>
              </w:rPr>
              <w:t xml:space="preserve"> eq. as 2030 emissions)</w:t>
            </w:r>
          </w:p>
        </w:tc>
        <w:tc>
          <w:tcPr>
            <w:tcW w:w="1620" w:type="dxa"/>
            <w:tcBorders>
              <w:bottom w:val="single" w:sz="4" w:space="0" w:color="auto"/>
            </w:tcBorders>
          </w:tcPr>
          <w:p w14:paraId="7F181F71" w14:textId="77777777" w:rsidR="00D431B4" w:rsidRDefault="00D431B4" w:rsidP="009C3D67">
            <w:pPr>
              <w:textAlignment w:val="baseline"/>
              <w:rPr>
                <w:rFonts w:eastAsia="Times New Roman" w:cstheme="minorHAnsi"/>
                <w:sz w:val="18"/>
                <w:szCs w:val="18"/>
                <w:lang w:val="en-GB" w:eastAsia="ja-JP"/>
              </w:rPr>
            </w:pPr>
            <w:r>
              <w:rPr>
                <w:rFonts w:eastAsia="Times New Roman" w:cstheme="minorHAnsi"/>
                <w:sz w:val="18"/>
                <w:szCs w:val="18"/>
                <w:lang w:val="en-GB" w:eastAsia="ja-JP"/>
              </w:rPr>
              <w:lastRenderedPageBreak/>
              <w:t>Approximately 14% reduction (7.3 MtCO</w:t>
            </w:r>
            <w:r>
              <w:rPr>
                <w:rFonts w:eastAsia="Times New Roman" w:cstheme="minorHAnsi"/>
                <w:sz w:val="18"/>
                <w:szCs w:val="18"/>
                <w:vertAlign w:val="subscript"/>
                <w:lang w:val="en-GB" w:eastAsia="ja-JP"/>
              </w:rPr>
              <w:t>2</w:t>
            </w:r>
            <w:r>
              <w:rPr>
                <w:rFonts w:eastAsia="Times New Roman" w:cstheme="minorHAnsi"/>
                <w:sz w:val="18"/>
                <w:szCs w:val="18"/>
                <w:lang w:val="en-GB" w:eastAsia="ja-JP"/>
              </w:rPr>
              <w:t xml:space="preserve">-eq.) by 2030, compared to a business-as-usual (BAU) scenario, excluding LULUCF                                                </w:t>
            </w:r>
          </w:p>
        </w:tc>
        <w:tc>
          <w:tcPr>
            <w:tcW w:w="1600" w:type="dxa"/>
            <w:tcBorders>
              <w:bottom w:val="single" w:sz="4" w:space="0" w:color="auto"/>
            </w:tcBorders>
          </w:tcPr>
          <w:p w14:paraId="5B7B1FE5" w14:textId="77777777" w:rsidR="00D431B4" w:rsidRDefault="00D431B4" w:rsidP="009C3D67">
            <w:pPr>
              <w:textAlignment w:val="baseline"/>
              <w:rPr>
                <w:rFonts w:eastAsia="Times New Roman" w:cstheme="minorHAnsi"/>
                <w:sz w:val="18"/>
                <w:szCs w:val="18"/>
                <w:lang w:val="en-GB" w:eastAsia="ja-JP"/>
              </w:rPr>
            </w:pPr>
            <w:r>
              <w:rPr>
                <w:rFonts w:eastAsia="Times New Roman" w:cstheme="minorHAnsi"/>
                <w:sz w:val="18"/>
                <w:szCs w:val="18"/>
                <w:lang w:val="en-GB" w:eastAsia="ja-JP"/>
              </w:rPr>
              <w:t>37% reduction of GHG emissions by 2030 from BAU scenario (BAU, 850.6 MtCO</w:t>
            </w:r>
            <w:r>
              <w:rPr>
                <w:rFonts w:eastAsia="Times New Roman" w:cstheme="minorHAnsi"/>
                <w:sz w:val="18"/>
                <w:szCs w:val="18"/>
                <w:vertAlign w:val="subscript"/>
                <w:lang w:val="en-GB" w:eastAsia="ja-JP"/>
              </w:rPr>
              <w:t>2</w:t>
            </w:r>
            <w:r>
              <w:rPr>
                <w:rFonts w:eastAsia="Times New Roman" w:cstheme="minorHAnsi"/>
                <w:sz w:val="18"/>
                <w:szCs w:val="18"/>
                <w:lang w:val="en-GB" w:eastAsia="ja-JP"/>
              </w:rPr>
              <w:t xml:space="preserve">-eq. in 2030) </w:t>
            </w:r>
          </w:p>
        </w:tc>
        <w:tc>
          <w:tcPr>
            <w:tcW w:w="1843" w:type="dxa"/>
            <w:tcBorders>
              <w:bottom w:val="single" w:sz="4" w:space="0" w:color="auto"/>
            </w:tcBorders>
          </w:tcPr>
          <w:p w14:paraId="1D83791F" w14:textId="77777777" w:rsidR="00D431B4" w:rsidRDefault="00D431B4" w:rsidP="009C3D67">
            <w:pPr>
              <w:textAlignment w:val="baseline"/>
              <w:rPr>
                <w:rFonts w:eastAsia="Times New Roman" w:cstheme="minorHAnsi"/>
                <w:sz w:val="18"/>
                <w:szCs w:val="18"/>
                <w:lang w:val="en-GB" w:eastAsia="ja-JP"/>
              </w:rPr>
            </w:pPr>
            <w:r>
              <w:rPr>
                <w:rFonts w:eastAsia="Times New Roman" w:cstheme="minorHAnsi"/>
                <w:sz w:val="18"/>
                <w:szCs w:val="18"/>
                <w:lang w:val="en-GB" w:eastAsia="ja-JP"/>
              </w:rPr>
              <w:t>(Intended NDC)</w:t>
            </w:r>
          </w:p>
          <w:p w14:paraId="57CA6770" w14:textId="77777777" w:rsidR="00D431B4" w:rsidRDefault="00D431B4" w:rsidP="009C3D67">
            <w:pPr>
              <w:textAlignment w:val="baseline"/>
              <w:rPr>
                <w:rFonts w:eastAsia="Times New Roman" w:cstheme="minorHAnsi"/>
                <w:sz w:val="18"/>
                <w:szCs w:val="18"/>
                <w:lang w:val="en-GB" w:eastAsia="ja-JP"/>
              </w:rPr>
            </w:pPr>
            <w:r>
              <w:rPr>
                <w:rFonts w:eastAsia="Times New Roman" w:cstheme="minorHAnsi"/>
                <w:sz w:val="18"/>
                <w:szCs w:val="18"/>
                <w:lang w:val="en-GB" w:eastAsia="ja-JP"/>
              </w:rPr>
              <w:t>Reduction of GHG to 70-75% by 2030 from 1990 levels</w:t>
            </w:r>
          </w:p>
        </w:tc>
      </w:tr>
      <w:tr w:rsidR="00D431B4" w:rsidRPr="00E86C16" w14:paraId="73E2DDD6" w14:textId="77777777" w:rsidTr="0050190E">
        <w:tc>
          <w:tcPr>
            <w:tcW w:w="9918" w:type="dxa"/>
            <w:gridSpan w:val="6"/>
            <w:tcBorders>
              <w:left w:val="nil"/>
              <w:bottom w:val="nil"/>
              <w:right w:val="nil"/>
            </w:tcBorders>
          </w:tcPr>
          <w:p w14:paraId="106AFFC5" w14:textId="77777777" w:rsidR="00D431B4" w:rsidRPr="00E86C16" w:rsidRDefault="00D431B4" w:rsidP="009C3D67">
            <w:pPr>
              <w:spacing w:before="100" w:beforeAutospacing="1" w:after="100" w:afterAutospacing="1"/>
              <w:textAlignment w:val="baseline"/>
              <w:rPr>
                <w:rFonts w:ascii="Arial" w:eastAsia="Times New Roman" w:hAnsi="Arial" w:cs="Arial"/>
                <w:sz w:val="18"/>
                <w:szCs w:val="18"/>
                <w:lang w:val="en-GB" w:eastAsia="ja-JP"/>
              </w:rPr>
            </w:pPr>
            <w:r w:rsidRPr="00E86C16">
              <w:rPr>
                <w:rFonts w:ascii="Arial" w:eastAsia="Times New Roman" w:hAnsi="Arial" w:cs="Arial"/>
                <w:sz w:val="18"/>
                <w:szCs w:val="18"/>
                <w:lang w:eastAsia="ja-JP"/>
              </w:rPr>
              <w:t xml:space="preserve">Source: UNFCCC NDC Interim Registry </w:t>
            </w:r>
            <w:hyperlink r:id="rId10" w:history="1">
              <w:r w:rsidRPr="00E86C16">
                <w:rPr>
                  <w:rStyle w:val="Hyperlink"/>
                  <w:rFonts w:ascii="Arial" w:eastAsia="Times New Roman" w:hAnsi="Arial" w:cs="Arial"/>
                  <w:sz w:val="18"/>
                  <w:szCs w:val="18"/>
                  <w:lang w:eastAsia="ja-JP"/>
                </w:rPr>
                <w:t>https://www4.unfccc.int/sites/NDCStaging/Pages/All.aspx</w:t>
              </w:r>
            </w:hyperlink>
            <w:r w:rsidRPr="00E86C16">
              <w:rPr>
                <w:rFonts w:ascii="Arial" w:eastAsia="Times New Roman" w:hAnsi="Arial" w:cs="Arial"/>
                <w:sz w:val="18"/>
                <w:szCs w:val="18"/>
                <w:lang w:eastAsia="ja-JP"/>
              </w:rPr>
              <w:t xml:space="preserve"> </w:t>
            </w:r>
            <w:r w:rsidRPr="00E86C16">
              <w:rPr>
                <w:rFonts w:ascii="Arial" w:eastAsia="Times New Roman" w:hAnsi="Arial" w:cs="Arial"/>
                <w:sz w:val="18"/>
                <w:szCs w:val="18"/>
                <w:lang w:val="en-GB" w:eastAsia="ja-JP"/>
              </w:rPr>
              <w:t> </w:t>
            </w:r>
          </w:p>
        </w:tc>
      </w:tr>
    </w:tbl>
    <w:p w14:paraId="786EB94D" w14:textId="77777777" w:rsidR="0027768E" w:rsidRDefault="0027768E" w:rsidP="00D431B4">
      <w:pPr>
        <w:jc w:val="both"/>
        <w:rPr>
          <w:rFonts w:ascii="Book Antiqua" w:hAnsi="Book Antiqua" w:cs="Book Antiqua"/>
          <w:color w:val="000000"/>
        </w:rPr>
      </w:pPr>
    </w:p>
    <w:p w14:paraId="09365E0A" w14:textId="1889C59C" w:rsidR="00D431B4" w:rsidRDefault="00D431B4" w:rsidP="00D431B4">
      <w:pPr>
        <w:jc w:val="both"/>
        <w:rPr>
          <w:rFonts w:ascii="Book Antiqua" w:hAnsi="Book Antiqua" w:cs="Book Antiqua"/>
          <w:color w:val="000000"/>
        </w:rPr>
      </w:pPr>
      <w:r>
        <w:rPr>
          <w:rFonts w:ascii="Book Antiqua" w:hAnsi="Book Antiqua" w:cs="Book Antiqua"/>
          <w:color w:val="000000"/>
        </w:rPr>
        <w:t xml:space="preserve">Amongst various policy initiatives, many NEASPEC member States have developed and implemented policies to support city-level actions on mitigating GHG emissions considering the roles of cities as both key emission sources and testing ground </w:t>
      </w:r>
      <w:r>
        <w:rPr>
          <w:rFonts w:ascii="Book Antiqua" w:hAnsi="Book Antiqua"/>
        </w:rPr>
        <w:t>of new and innovative policies such as green transport and building</w:t>
      </w:r>
      <w:r>
        <w:rPr>
          <w:rFonts w:ascii="Book Antiqua" w:hAnsi="Book Antiqua" w:cs="Book Antiqua"/>
          <w:color w:val="000000"/>
        </w:rPr>
        <w:t xml:space="preserve">. In this connection, NEASPEC identified sharing information and knowledge on low carbon cities and supporting municipal authorities as a practical area of cooperation to address climate change. The initial work focused on low carbon city policies in three member States, China, </w:t>
      </w:r>
      <w:proofErr w:type="gramStart"/>
      <w:r>
        <w:rPr>
          <w:rFonts w:ascii="Book Antiqua" w:hAnsi="Book Antiqua" w:cs="Book Antiqua"/>
          <w:color w:val="000000"/>
        </w:rPr>
        <w:t>Japan</w:t>
      </w:r>
      <w:proofErr w:type="gramEnd"/>
      <w:r>
        <w:rPr>
          <w:rFonts w:ascii="Book Antiqua" w:hAnsi="Book Antiqua" w:cs="Book Antiqua"/>
          <w:color w:val="000000"/>
        </w:rPr>
        <w:t xml:space="preserve"> and the Republic of Korea (Table 4). The SOM-23 in 2019 became a milestone in expanding the work to other member States, namely Mongolia and the Russian Federation.</w:t>
      </w:r>
    </w:p>
    <w:p w14:paraId="05C2646D" w14:textId="77777777" w:rsidR="00D431B4" w:rsidRPr="00F553F9" w:rsidRDefault="00D431B4" w:rsidP="00D431B4">
      <w:pPr>
        <w:spacing w:after="0"/>
        <w:jc w:val="center"/>
        <w:rPr>
          <w:rFonts w:ascii="Calibri" w:eastAsia="Times New Roman" w:hAnsi="Calibri" w:cs="Calibri"/>
          <w:b/>
          <w:bCs/>
        </w:rPr>
      </w:pPr>
      <w:r w:rsidRPr="00F553F9">
        <w:rPr>
          <w:rFonts w:ascii="Calibri" w:eastAsia="Times New Roman" w:hAnsi="Calibri" w:cs="Calibri"/>
          <w:b/>
          <w:bCs/>
        </w:rPr>
        <w:t>Table 4: Low Carbon City Policies and Actions in China, Japan, and Republic of Korea</w:t>
      </w:r>
    </w:p>
    <w:tbl>
      <w:tblPr>
        <w:tblStyle w:val="TableGrid"/>
        <w:tblW w:w="9625" w:type="dxa"/>
        <w:tblLayout w:type="fixed"/>
        <w:tblLook w:val="04A0" w:firstRow="1" w:lastRow="0" w:firstColumn="1" w:lastColumn="0" w:noHBand="0" w:noVBand="1"/>
      </w:tblPr>
      <w:tblGrid>
        <w:gridCol w:w="1193"/>
        <w:gridCol w:w="2724"/>
        <w:gridCol w:w="2918"/>
        <w:gridCol w:w="2790"/>
      </w:tblGrid>
      <w:tr w:rsidR="00D431B4" w14:paraId="4D127AF3" w14:textId="77777777" w:rsidTr="00E86C16">
        <w:tc>
          <w:tcPr>
            <w:tcW w:w="1193" w:type="dxa"/>
          </w:tcPr>
          <w:p w14:paraId="0D936552" w14:textId="77777777" w:rsidR="00D431B4" w:rsidRDefault="00D431B4" w:rsidP="009C3D67">
            <w:pPr>
              <w:spacing w:after="160" w:line="259" w:lineRule="auto"/>
              <w:rPr>
                <w:rFonts w:eastAsia="Times New Roman" w:cstheme="minorHAnsi"/>
                <w:sz w:val="20"/>
                <w:szCs w:val="20"/>
              </w:rPr>
            </w:pPr>
          </w:p>
        </w:tc>
        <w:tc>
          <w:tcPr>
            <w:tcW w:w="2724" w:type="dxa"/>
          </w:tcPr>
          <w:p w14:paraId="6AA2A559" w14:textId="77777777" w:rsidR="00D431B4" w:rsidRDefault="00D431B4" w:rsidP="009C3D67">
            <w:pPr>
              <w:spacing w:after="160" w:line="259" w:lineRule="auto"/>
              <w:rPr>
                <w:rFonts w:eastAsia="Times New Roman" w:cstheme="minorHAnsi"/>
                <w:b/>
                <w:bCs/>
                <w:sz w:val="20"/>
                <w:szCs w:val="20"/>
              </w:rPr>
            </w:pPr>
            <w:r>
              <w:rPr>
                <w:rFonts w:eastAsia="Times New Roman" w:cstheme="minorHAnsi"/>
                <w:b/>
                <w:bCs/>
                <w:sz w:val="20"/>
                <w:szCs w:val="20"/>
              </w:rPr>
              <w:t>China</w:t>
            </w:r>
          </w:p>
        </w:tc>
        <w:tc>
          <w:tcPr>
            <w:tcW w:w="2918" w:type="dxa"/>
          </w:tcPr>
          <w:p w14:paraId="7CAE27C3" w14:textId="77777777" w:rsidR="00D431B4" w:rsidRDefault="00D431B4" w:rsidP="009C3D67">
            <w:pPr>
              <w:spacing w:after="160" w:line="259" w:lineRule="auto"/>
              <w:rPr>
                <w:rFonts w:eastAsia="Times New Roman" w:cstheme="minorHAnsi"/>
                <w:b/>
                <w:bCs/>
                <w:sz w:val="20"/>
                <w:szCs w:val="20"/>
              </w:rPr>
            </w:pPr>
            <w:r>
              <w:rPr>
                <w:rFonts w:eastAsia="Times New Roman" w:cstheme="minorHAnsi"/>
                <w:b/>
                <w:bCs/>
                <w:sz w:val="20"/>
                <w:szCs w:val="20"/>
              </w:rPr>
              <w:t>Japan</w:t>
            </w:r>
          </w:p>
        </w:tc>
        <w:tc>
          <w:tcPr>
            <w:tcW w:w="2790" w:type="dxa"/>
          </w:tcPr>
          <w:p w14:paraId="40385B47" w14:textId="77777777" w:rsidR="00D431B4" w:rsidRDefault="00D431B4" w:rsidP="009C3D67">
            <w:pPr>
              <w:spacing w:after="160" w:line="259" w:lineRule="auto"/>
              <w:rPr>
                <w:rFonts w:eastAsia="Times New Roman" w:cstheme="minorHAnsi"/>
                <w:b/>
                <w:bCs/>
                <w:sz w:val="20"/>
                <w:szCs w:val="20"/>
              </w:rPr>
            </w:pPr>
            <w:r>
              <w:rPr>
                <w:rFonts w:eastAsia="Times New Roman" w:cstheme="minorHAnsi"/>
                <w:b/>
                <w:bCs/>
                <w:sz w:val="20"/>
                <w:szCs w:val="20"/>
              </w:rPr>
              <w:t>Republic of Korea</w:t>
            </w:r>
          </w:p>
        </w:tc>
      </w:tr>
      <w:tr w:rsidR="00D431B4" w14:paraId="18DF85DF" w14:textId="77777777" w:rsidTr="00E86C16">
        <w:tc>
          <w:tcPr>
            <w:tcW w:w="1193" w:type="dxa"/>
          </w:tcPr>
          <w:p w14:paraId="5903930B" w14:textId="77777777" w:rsidR="00D431B4" w:rsidRDefault="00D431B4" w:rsidP="009C3D67">
            <w:pPr>
              <w:spacing w:after="160" w:line="259" w:lineRule="auto"/>
              <w:rPr>
                <w:rFonts w:eastAsia="Times New Roman" w:cstheme="minorHAnsi"/>
                <w:b/>
                <w:bCs/>
                <w:sz w:val="20"/>
                <w:szCs w:val="20"/>
              </w:rPr>
            </w:pPr>
            <w:r>
              <w:rPr>
                <w:rFonts w:eastAsia="Times New Roman" w:cstheme="minorHAnsi"/>
                <w:b/>
                <w:bCs/>
                <w:sz w:val="20"/>
                <w:szCs w:val="20"/>
              </w:rPr>
              <w:t xml:space="preserve">Flagship </w:t>
            </w:r>
            <w:proofErr w:type="spellStart"/>
            <w:r>
              <w:rPr>
                <w:rFonts w:eastAsia="Times New Roman" w:cstheme="minorHAnsi"/>
                <w:b/>
                <w:bCs/>
                <w:sz w:val="20"/>
                <w:szCs w:val="20"/>
              </w:rPr>
              <w:t>programme</w:t>
            </w:r>
            <w:proofErr w:type="spellEnd"/>
            <w:r>
              <w:rPr>
                <w:rFonts w:eastAsia="Times New Roman" w:cstheme="minorHAnsi"/>
                <w:b/>
                <w:bCs/>
                <w:sz w:val="20"/>
                <w:szCs w:val="20"/>
              </w:rPr>
              <w:t xml:space="preserve"> or framework </w:t>
            </w:r>
          </w:p>
        </w:tc>
        <w:tc>
          <w:tcPr>
            <w:tcW w:w="2724" w:type="dxa"/>
          </w:tcPr>
          <w:p w14:paraId="792CF3DF" w14:textId="77777777" w:rsidR="00D431B4" w:rsidRDefault="00D431B4" w:rsidP="009C3D67">
            <w:pPr>
              <w:rPr>
                <w:rFonts w:eastAsia="Times New Roman" w:cstheme="minorHAnsi"/>
                <w:sz w:val="20"/>
                <w:szCs w:val="20"/>
              </w:rPr>
            </w:pPr>
            <w:r>
              <w:rPr>
                <w:rFonts w:eastAsia="Times New Roman" w:cstheme="minorHAnsi"/>
                <w:b/>
                <w:bCs/>
                <w:sz w:val="20"/>
                <w:szCs w:val="20"/>
              </w:rPr>
              <w:t>Low Carbon Pilot Cities</w:t>
            </w:r>
            <w:r>
              <w:rPr>
                <w:rFonts w:eastAsia="Times New Roman" w:cstheme="minorHAnsi"/>
                <w:sz w:val="20"/>
                <w:szCs w:val="20"/>
              </w:rPr>
              <w:t xml:space="preserve"> (as of 2020, 6 provinces, 81 cities and 2 counties) </w:t>
            </w:r>
          </w:p>
          <w:p w14:paraId="4C949AE9" w14:textId="77777777" w:rsidR="00D431B4" w:rsidRDefault="00D431B4" w:rsidP="009C3D67">
            <w:pPr>
              <w:rPr>
                <w:rStyle w:val="normaltextrun"/>
                <w:rFonts w:ascii="Calibri" w:hAnsi="Calibri" w:cs="Calibri"/>
                <w:b/>
                <w:bCs/>
                <w:color w:val="000000"/>
                <w:sz w:val="20"/>
                <w:szCs w:val="20"/>
                <w:shd w:val="clear" w:color="auto" w:fill="FFFFFF"/>
                <w:lang w:val="en-GB"/>
              </w:rPr>
            </w:pPr>
          </w:p>
          <w:p w14:paraId="7C07C1DF" w14:textId="77777777" w:rsidR="00D431B4" w:rsidRDefault="00D431B4" w:rsidP="009C3D67">
            <w:pPr>
              <w:rPr>
                <w:rFonts w:eastAsia="Times New Roman" w:cstheme="minorHAnsi"/>
                <w:sz w:val="20"/>
                <w:szCs w:val="20"/>
              </w:rPr>
            </w:pPr>
            <w:r>
              <w:rPr>
                <w:rStyle w:val="normaltextrun"/>
                <w:rFonts w:ascii="Calibri" w:hAnsi="Calibri" w:cs="Calibri"/>
                <w:b/>
                <w:bCs/>
                <w:color w:val="000000"/>
                <w:sz w:val="20"/>
                <w:szCs w:val="20"/>
                <w:shd w:val="clear" w:color="auto" w:fill="FFFFFF"/>
                <w:lang w:val="en-GB"/>
              </w:rPr>
              <w:t>Target Responsibility System (TRS)</w:t>
            </w:r>
            <w:r>
              <w:rPr>
                <w:rStyle w:val="normaltextrun"/>
                <w:rFonts w:ascii="Calibri" w:hAnsi="Calibri" w:cs="Calibri"/>
                <w:color w:val="000000"/>
                <w:sz w:val="20"/>
                <w:szCs w:val="20"/>
                <w:shd w:val="clear" w:color="auto" w:fill="FFFFFF"/>
                <w:lang w:val="en-GB"/>
              </w:rPr>
              <w:t xml:space="preserve"> </w:t>
            </w:r>
            <w:r>
              <w:rPr>
                <w:rStyle w:val="normaltextrun"/>
                <w:rFonts w:ascii="Calibri" w:hAnsi="Calibri" w:cs="Calibri"/>
                <w:sz w:val="20"/>
                <w:szCs w:val="20"/>
                <w:lang w:val="en-GB"/>
              </w:rPr>
              <w:t>policy implementation mechanism that assigns national targets to local government and requires the latter to be responsible for achieving the assigned target</w:t>
            </w:r>
          </w:p>
        </w:tc>
        <w:tc>
          <w:tcPr>
            <w:tcW w:w="2918" w:type="dxa"/>
          </w:tcPr>
          <w:p w14:paraId="50A5710F" w14:textId="77777777" w:rsidR="00D431B4" w:rsidRDefault="00D431B4" w:rsidP="009C3D67">
            <w:pPr>
              <w:spacing w:line="259" w:lineRule="auto"/>
              <w:rPr>
                <w:rFonts w:eastAsia="Times New Roman" w:cstheme="minorHAnsi"/>
                <w:sz w:val="20"/>
                <w:szCs w:val="20"/>
              </w:rPr>
            </w:pPr>
            <w:r>
              <w:rPr>
                <w:rFonts w:eastAsia="Times New Roman" w:cstheme="minorHAnsi"/>
                <w:b/>
                <w:bCs/>
                <w:sz w:val="20"/>
                <w:szCs w:val="20"/>
              </w:rPr>
              <w:t>Model city development</w:t>
            </w:r>
            <w:r>
              <w:rPr>
                <w:rFonts w:eastAsia="Times New Roman" w:cstheme="minorHAnsi"/>
                <w:sz w:val="20"/>
                <w:szCs w:val="20"/>
              </w:rPr>
              <w:t xml:space="preserve">: </w:t>
            </w:r>
          </w:p>
          <w:p w14:paraId="75EF3FC3" w14:textId="77777777" w:rsidR="00D431B4" w:rsidRDefault="00D431B4" w:rsidP="009C3D67">
            <w:pPr>
              <w:spacing w:line="259" w:lineRule="auto"/>
              <w:rPr>
                <w:rFonts w:eastAsia="Times New Roman" w:cstheme="minorHAnsi"/>
                <w:sz w:val="20"/>
                <w:szCs w:val="20"/>
              </w:rPr>
            </w:pPr>
            <w:r>
              <w:rPr>
                <w:rFonts w:eastAsia="Times New Roman" w:cstheme="minorHAnsi"/>
                <w:sz w:val="20"/>
                <w:szCs w:val="20"/>
              </w:rPr>
              <w:t xml:space="preserve">promotes low carbon city development through a set of certification programs including the Eco model city, Future City, SDG Future City, and Local Government SDGs Model </w:t>
            </w:r>
            <w:proofErr w:type="spellStart"/>
            <w:r>
              <w:rPr>
                <w:rFonts w:eastAsia="Times New Roman" w:cstheme="minorHAnsi"/>
                <w:sz w:val="20"/>
                <w:szCs w:val="20"/>
              </w:rPr>
              <w:t>Programmes</w:t>
            </w:r>
            <w:proofErr w:type="spellEnd"/>
          </w:p>
        </w:tc>
        <w:tc>
          <w:tcPr>
            <w:tcW w:w="2790" w:type="dxa"/>
          </w:tcPr>
          <w:p w14:paraId="766E0A95" w14:textId="77777777" w:rsidR="00D431B4" w:rsidRDefault="00D431B4" w:rsidP="009C3D67">
            <w:pPr>
              <w:rPr>
                <w:rFonts w:eastAsia="Times New Roman" w:cstheme="minorHAnsi"/>
                <w:b/>
                <w:bCs/>
                <w:sz w:val="20"/>
                <w:szCs w:val="20"/>
              </w:rPr>
            </w:pPr>
            <w:r>
              <w:rPr>
                <w:rFonts w:eastAsia="Times New Roman" w:cstheme="minorHAnsi"/>
                <w:b/>
                <w:bCs/>
                <w:sz w:val="20"/>
                <w:szCs w:val="20"/>
              </w:rPr>
              <w:t xml:space="preserve">Framework Act on Low Carbon Green Growth (FALCGG) -  </w:t>
            </w:r>
          </w:p>
          <w:p w14:paraId="7698E1F3" w14:textId="77777777" w:rsidR="00D431B4" w:rsidRDefault="00D431B4" w:rsidP="009C3D67">
            <w:pPr>
              <w:rPr>
                <w:rFonts w:eastAsia="Times New Roman" w:cstheme="minorHAnsi"/>
                <w:sz w:val="20"/>
                <w:szCs w:val="20"/>
              </w:rPr>
            </w:pPr>
            <w:r>
              <w:rPr>
                <w:rFonts w:eastAsia="Times New Roman" w:cstheme="minorHAnsi"/>
                <w:sz w:val="20"/>
                <w:szCs w:val="20"/>
              </w:rPr>
              <w:t xml:space="preserve">Pilot programs to promote low carbon cities, including the Climate Change Adaptation Model City </w:t>
            </w:r>
            <w:proofErr w:type="gramStart"/>
            <w:r>
              <w:rPr>
                <w:rFonts w:eastAsia="Times New Roman" w:cstheme="minorHAnsi"/>
                <w:sz w:val="20"/>
                <w:szCs w:val="20"/>
              </w:rPr>
              <w:t>Project;</w:t>
            </w:r>
            <w:proofErr w:type="gramEnd"/>
            <w:r>
              <w:rPr>
                <w:rFonts w:eastAsia="Times New Roman" w:cstheme="minorHAnsi"/>
                <w:sz w:val="20"/>
                <w:szCs w:val="20"/>
              </w:rPr>
              <w:t xml:space="preserve"> the Green City Project </w:t>
            </w:r>
          </w:p>
          <w:p w14:paraId="62210FCD" w14:textId="77777777" w:rsidR="00D431B4" w:rsidRDefault="00D431B4" w:rsidP="009C3D67">
            <w:pPr>
              <w:rPr>
                <w:rFonts w:eastAsia="Times New Roman" w:cstheme="minorHAnsi"/>
                <w:b/>
                <w:bCs/>
                <w:sz w:val="20"/>
                <w:szCs w:val="20"/>
              </w:rPr>
            </w:pPr>
          </w:p>
          <w:p w14:paraId="2968144D" w14:textId="77777777" w:rsidR="00D431B4" w:rsidRDefault="00D431B4" w:rsidP="009C3D67">
            <w:pPr>
              <w:rPr>
                <w:rFonts w:eastAsia="Times New Roman" w:cstheme="minorHAnsi"/>
                <w:sz w:val="20"/>
                <w:szCs w:val="20"/>
              </w:rPr>
            </w:pPr>
            <w:r>
              <w:rPr>
                <w:rFonts w:eastAsia="Times New Roman" w:cstheme="minorHAnsi"/>
                <w:b/>
                <w:bCs/>
                <w:sz w:val="20"/>
                <w:szCs w:val="20"/>
              </w:rPr>
              <w:t>Local Government Alliance for Carbon Neutral</w:t>
            </w:r>
            <w:r>
              <w:rPr>
                <w:rFonts w:eastAsia="Times New Roman" w:cstheme="minorHAnsi"/>
                <w:sz w:val="20"/>
                <w:szCs w:val="20"/>
              </w:rPr>
              <w:t xml:space="preserve">: a voluntary network involving 80 municipal governments for carbon neutral by 2050  </w:t>
            </w:r>
          </w:p>
        </w:tc>
      </w:tr>
    </w:tbl>
    <w:p w14:paraId="521F82D1" w14:textId="77777777" w:rsidR="00D431B4" w:rsidRDefault="00D431B4" w:rsidP="00D431B4">
      <w:pPr>
        <w:spacing w:after="160" w:line="259" w:lineRule="auto"/>
        <w:jc w:val="both"/>
        <w:rPr>
          <w:rFonts w:ascii="Book Antiqua" w:hAnsi="Book Antiqua" w:cs="Book Antiqua"/>
          <w:color w:val="000000"/>
        </w:rPr>
      </w:pPr>
    </w:p>
    <w:p w14:paraId="1DEA7EB8" w14:textId="77777777" w:rsidR="00D431B4" w:rsidRDefault="00D431B4" w:rsidP="00D431B4">
      <w:pPr>
        <w:spacing w:after="0" w:line="300" w:lineRule="exact"/>
        <w:jc w:val="both"/>
        <w:rPr>
          <w:rFonts w:ascii="Book Antiqua" w:hAnsi="Book Antiqua" w:cs="Tahoma"/>
        </w:rPr>
      </w:pPr>
      <w:r>
        <w:rPr>
          <w:rFonts w:ascii="Book Antiqua" w:hAnsi="Book Antiqua" w:cs="Book Antiqua"/>
          <w:color w:val="000000"/>
        </w:rPr>
        <w:t xml:space="preserve">The work under the North-East Asia Low Carbon City Platform (NEA-LCCP) indicates uneven capacity of cities to address low carbon city development and competing priorities of the cities within the limited resources and capacities. Those findings suggest the need for cities to explore the policies which embrace co-benefits between climate action and economy, and between GHG mitigation and air quality improvement. </w:t>
      </w:r>
      <w:r>
        <w:rPr>
          <w:rFonts w:ascii="Book Antiqua" w:hAnsi="Book Antiqua" w:cs="Tahoma"/>
        </w:rPr>
        <w:t xml:space="preserve">In this context, NEASPEC’s NEA-LCCP can strengthen its role in connecting the experiences and expertise of local governments. </w:t>
      </w:r>
    </w:p>
    <w:p w14:paraId="480C16CF" w14:textId="77777777" w:rsidR="00D431B4" w:rsidRDefault="00D431B4" w:rsidP="00D431B4">
      <w:pPr>
        <w:spacing w:after="0" w:line="300" w:lineRule="exact"/>
        <w:jc w:val="both"/>
        <w:rPr>
          <w:rFonts w:ascii="Book Antiqua" w:hAnsi="Book Antiqua" w:cs="Tahoma"/>
        </w:rPr>
      </w:pPr>
    </w:p>
    <w:p w14:paraId="3B8BE89F" w14:textId="64DAE7AA" w:rsidR="00D431B4" w:rsidRDefault="00D431B4" w:rsidP="006349DB">
      <w:pPr>
        <w:spacing w:after="0" w:line="300" w:lineRule="exact"/>
        <w:jc w:val="both"/>
        <w:rPr>
          <w:rFonts w:ascii="Book Antiqua" w:hAnsi="Book Antiqua" w:cs="Book Antiqua"/>
          <w:color w:val="000000"/>
        </w:rPr>
      </w:pPr>
      <w:r>
        <w:rPr>
          <w:rFonts w:ascii="Book Antiqua" w:hAnsi="Book Antiqua" w:cs="Book Antiqua"/>
          <w:color w:val="000000"/>
        </w:rPr>
        <w:t xml:space="preserve">The work of NEA-LCCP will be connected with, and draw expertise from networks and </w:t>
      </w:r>
      <w:proofErr w:type="spellStart"/>
      <w:r>
        <w:rPr>
          <w:rFonts w:ascii="Book Antiqua" w:hAnsi="Book Antiqua" w:cs="Book Antiqua"/>
          <w:color w:val="000000"/>
        </w:rPr>
        <w:t>programmes</w:t>
      </w:r>
      <w:proofErr w:type="spellEnd"/>
      <w:r>
        <w:rPr>
          <w:rFonts w:ascii="Book Antiqua" w:hAnsi="Book Antiqua" w:cs="Book Antiqua"/>
          <w:color w:val="000000"/>
        </w:rPr>
        <w:t xml:space="preserve"> at regional and international levels including ICLEI-Local Governments for Sustainability, C40 Cities Climate Leadership Group (C40), Asian Cities Climate Change </w:t>
      </w:r>
      <w:r>
        <w:rPr>
          <w:rFonts w:ascii="Book Antiqua" w:hAnsi="Book Antiqua" w:cs="Book Antiqua"/>
          <w:color w:val="000000"/>
        </w:rPr>
        <w:lastRenderedPageBreak/>
        <w:t>Resilience Network (ACCCRN), the Global Covenant of Mayors for Climate and Energy (</w:t>
      </w:r>
      <w:proofErr w:type="spellStart"/>
      <w:r>
        <w:rPr>
          <w:rFonts w:ascii="Book Antiqua" w:hAnsi="Book Antiqua" w:cs="Book Antiqua"/>
          <w:color w:val="000000"/>
        </w:rPr>
        <w:t>GCoM</w:t>
      </w:r>
      <w:proofErr w:type="spellEnd"/>
      <w:r>
        <w:rPr>
          <w:rFonts w:ascii="Book Antiqua" w:hAnsi="Book Antiqua" w:cs="Book Antiqua"/>
          <w:color w:val="000000"/>
        </w:rPr>
        <w:t>), and the Carbon Neutral Cities Alliance (CNCA).</w:t>
      </w:r>
    </w:p>
    <w:p w14:paraId="3CF6565A" w14:textId="77777777" w:rsidR="00FE3854" w:rsidRDefault="00FE3854" w:rsidP="006349DB">
      <w:pPr>
        <w:spacing w:after="0" w:line="300" w:lineRule="exact"/>
        <w:jc w:val="both"/>
        <w:rPr>
          <w:rFonts w:ascii="Book Antiqua" w:hAnsi="Book Antiqua" w:cs="Book Antiqua"/>
          <w:color w:val="000000"/>
        </w:rPr>
      </w:pPr>
    </w:p>
    <w:p w14:paraId="644E754A" w14:textId="00BCB7A4" w:rsidR="00D9682B" w:rsidRPr="00D9682B" w:rsidRDefault="00D431B4" w:rsidP="00D9682B">
      <w:pPr>
        <w:pStyle w:val="1"/>
        <w:numPr>
          <w:ilvl w:val="1"/>
          <w:numId w:val="11"/>
        </w:numPr>
        <w:tabs>
          <w:tab w:val="left" w:pos="180"/>
        </w:tabs>
        <w:spacing w:after="240"/>
        <w:ind w:left="180" w:hanging="180"/>
        <w:rPr>
          <w:rFonts w:ascii="Book Antiqua" w:hAnsi="Book Antiqua"/>
          <w:b/>
        </w:rPr>
      </w:pPr>
      <w:bookmarkStart w:id="6" w:name="_Hlk47953019"/>
      <w:r w:rsidRPr="00D9682B">
        <w:rPr>
          <w:rFonts w:ascii="Book Antiqua" w:hAnsi="Book Antiqua"/>
          <w:b/>
        </w:rPr>
        <w:t xml:space="preserve">Desertification and Land Degradation </w:t>
      </w:r>
      <w:bookmarkEnd w:id="6"/>
    </w:p>
    <w:p w14:paraId="4E55234D" w14:textId="61C06F7A" w:rsidR="00D431B4" w:rsidRPr="00D9682B" w:rsidRDefault="00D9682B" w:rsidP="00D9682B">
      <w:pPr>
        <w:tabs>
          <w:tab w:val="left" w:pos="950"/>
        </w:tabs>
        <w:jc w:val="both"/>
        <w:rPr>
          <w:rFonts w:ascii="Book Antiqua" w:hAnsi="Book Antiqua"/>
        </w:rPr>
      </w:pPr>
      <w:r w:rsidRPr="00D9682B">
        <w:rPr>
          <w:rFonts w:ascii="Book Antiqua" w:hAnsi="Book Antiqua"/>
        </w:rPr>
        <w:t xml:space="preserve">The NEASPEC </w:t>
      </w:r>
      <w:r>
        <w:rPr>
          <w:rFonts w:ascii="Book Antiqua" w:hAnsi="Book Antiqua"/>
        </w:rPr>
        <w:t>work desertification and land degradation (DLD) is expected to focus on the interlinkage with climate change.</w:t>
      </w:r>
      <w:r w:rsidRPr="00D9682B">
        <w:rPr>
          <w:rStyle w:val="FootnoteReference"/>
          <w:rFonts w:ascii="Book Antiqua" w:hAnsi="Book Antiqua"/>
        </w:rPr>
        <w:t xml:space="preserve"> </w:t>
      </w:r>
      <w:r>
        <w:rPr>
          <w:rStyle w:val="FootnoteReference"/>
          <w:rFonts w:ascii="Book Antiqua" w:hAnsi="Book Antiqua"/>
        </w:rPr>
        <w:footnoteReference w:id="14"/>
      </w:r>
      <w:r>
        <w:rPr>
          <w:rFonts w:ascii="Book Antiqua" w:hAnsi="Book Antiqua"/>
        </w:rPr>
        <w:t xml:space="preserve"> </w:t>
      </w:r>
      <w:r w:rsidR="00D431B4" w:rsidRPr="00D9682B">
        <w:rPr>
          <w:rFonts w:ascii="Book Antiqua" w:hAnsi="Book Antiqua" w:cs="Book Antiqua"/>
        </w:rPr>
        <w:t>As the world’s soils store more carbon than the planet’s biomass and atmosphere combined, appropriate land management is urgently in need to increase soil carbon stocks that can offset the anthropogenic GHG emissions and generate multiple benefits for both the environment and society</w:t>
      </w:r>
      <w:r w:rsidR="00D431B4" w:rsidRPr="00D9682B">
        <w:rPr>
          <w:rFonts w:ascii="Book Antiqua" w:hAnsi="Book Antiqua"/>
          <w:bCs/>
        </w:rPr>
        <w:t xml:space="preserve">. Changes in land conditions, either from land-use or climate change, affect globally and regional climate. Agriculture, </w:t>
      </w:r>
      <w:proofErr w:type="gramStart"/>
      <w:r w:rsidR="00D431B4" w:rsidRPr="00D9682B">
        <w:rPr>
          <w:rFonts w:ascii="Book Antiqua" w:hAnsi="Book Antiqua"/>
          <w:bCs/>
        </w:rPr>
        <w:t>forestry</w:t>
      </w:r>
      <w:proofErr w:type="gramEnd"/>
      <w:r w:rsidR="00D431B4" w:rsidRPr="00D9682B">
        <w:rPr>
          <w:rFonts w:ascii="Book Antiqua" w:hAnsi="Book Antiqua"/>
          <w:bCs/>
        </w:rPr>
        <w:t xml:space="preserve"> and other land use activities accounted for around 13 percent of CO</w:t>
      </w:r>
      <w:r w:rsidR="00D431B4" w:rsidRPr="00D9682B">
        <w:rPr>
          <w:rFonts w:ascii="Book Antiqua" w:hAnsi="Book Antiqua"/>
          <w:bCs/>
          <w:vertAlign w:val="subscript"/>
        </w:rPr>
        <w:t>2</w:t>
      </w:r>
      <w:r w:rsidR="00D431B4" w:rsidRPr="00D9682B">
        <w:rPr>
          <w:rFonts w:ascii="Book Antiqua" w:hAnsi="Book Antiqua"/>
          <w:bCs/>
        </w:rPr>
        <w:t>, 44 percent of methane (CH</w:t>
      </w:r>
      <w:r w:rsidR="00D431B4" w:rsidRPr="00D9682B">
        <w:rPr>
          <w:rFonts w:ascii="Book Antiqua" w:hAnsi="Book Antiqua"/>
          <w:bCs/>
          <w:vertAlign w:val="subscript"/>
        </w:rPr>
        <w:t>4</w:t>
      </w:r>
      <w:r w:rsidR="00D431B4" w:rsidRPr="00D9682B">
        <w:rPr>
          <w:rFonts w:ascii="Book Antiqua" w:hAnsi="Book Antiqua"/>
          <w:bCs/>
        </w:rPr>
        <w:t>), and 82 percent of nitrous oxide (N</w:t>
      </w:r>
      <w:r w:rsidR="00D431B4" w:rsidRPr="00D9682B">
        <w:rPr>
          <w:rFonts w:ascii="Book Antiqua" w:hAnsi="Book Antiqua"/>
          <w:bCs/>
          <w:vertAlign w:val="subscript"/>
        </w:rPr>
        <w:t>2</w:t>
      </w:r>
      <w:r w:rsidR="00D431B4" w:rsidRPr="00D9682B">
        <w:rPr>
          <w:rFonts w:ascii="Book Antiqua" w:hAnsi="Book Antiqua"/>
          <w:bCs/>
        </w:rPr>
        <w:t xml:space="preserve">O) emissions from human activities globally during 2007-2016. Meanwhile, climate change creates additional stress on land, exacerbating existing risks to livelihoods, biodiversity, human and ecosystem health, infrastructure, and food systems.  </w:t>
      </w:r>
    </w:p>
    <w:p w14:paraId="33382BE5" w14:textId="3E1BF7DF" w:rsidR="00D431B4" w:rsidRDefault="00D431B4" w:rsidP="00D431B4">
      <w:pPr>
        <w:tabs>
          <w:tab w:val="left" w:pos="180"/>
        </w:tabs>
        <w:spacing w:after="240"/>
        <w:jc w:val="both"/>
        <w:rPr>
          <w:rFonts w:ascii="Book Antiqua" w:hAnsi="Book Antiqua"/>
          <w:bCs/>
        </w:rPr>
      </w:pPr>
      <w:r>
        <w:rPr>
          <w:rFonts w:ascii="Book Antiqua" w:hAnsi="Book Antiqua"/>
          <w:bCs/>
        </w:rPr>
        <w:t>Many land-related responses to climate change adaptation and mitigation produce co-benefits to combat desertification and land degradation, and vice versa. Such responses also contribute to halting biodiversity loss with sustainable development co-benefits to society. Sustainable land management</w:t>
      </w:r>
      <w:proofErr w:type="gramStart"/>
      <w:r>
        <w:rPr>
          <w:rFonts w:ascii="Book Antiqua" w:hAnsi="Book Antiqua"/>
          <w:bCs/>
        </w:rPr>
        <w:t>, in particular, can</w:t>
      </w:r>
      <w:proofErr w:type="gramEnd"/>
      <w:r>
        <w:rPr>
          <w:rFonts w:ascii="Book Antiqua" w:hAnsi="Book Antiqua"/>
          <w:bCs/>
        </w:rPr>
        <w:t xml:space="preserve"> prevent and reduce land degradation, </w:t>
      </w:r>
      <w:r w:rsidR="006B6120">
        <w:rPr>
          <w:rFonts w:ascii="Book Antiqua" w:hAnsi="Book Antiqua"/>
          <w:bCs/>
        </w:rPr>
        <w:t xml:space="preserve">and </w:t>
      </w:r>
      <w:r>
        <w:rPr>
          <w:rFonts w:ascii="Book Antiqua" w:hAnsi="Book Antiqua"/>
          <w:bCs/>
        </w:rPr>
        <w:t xml:space="preserve">maintain land productivity, whilst contributing to mitigation and adaptation of climate change. Reducing and reversing </w:t>
      </w:r>
      <w:r>
        <w:rPr>
          <w:rFonts w:ascii="Book Antiqua" w:eastAsia="SimSun" w:hAnsi="Book Antiqua" w:hint="eastAsia"/>
          <w:bCs/>
          <w:lang w:eastAsia="zh-CN"/>
        </w:rPr>
        <w:t xml:space="preserve">desertification and </w:t>
      </w:r>
      <w:r>
        <w:rPr>
          <w:rFonts w:ascii="Book Antiqua" w:hAnsi="Book Antiqua"/>
          <w:bCs/>
        </w:rPr>
        <w:t>land degradation, at scales from individual farms to entire watersheds</w:t>
      </w:r>
      <w:r>
        <w:rPr>
          <w:rFonts w:ascii="Book Antiqua" w:eastAsia="SimSun" w:hAnsi="Book Antiqua" w:hint="eastAsia"/>
          <w:bCs/>
          <w:lang w:eastAsia="zh-CN"/>
        </w:rPr>
        <w:t xml:space="preserve"> and even to </w:t>
      </w:r>
      <w:r w:rsidR="00FC62C9">
        <w:rPr>
          <w:rFonts w:ascii="Book Antiqua" w:eastAsia="SimSun" w:hAnsi="Book Antiqua"/>
          <w:bCs/>
          <w:lang w:eastAsia="zh-CN"/>
        </w:rPr>
        <w:t xml:space="preserve">the </w:t>
      </w:r>
      <w:r>
        <w:rPr>
          <w:rFonts w:ascii="Book Antiqua" w:eastAsia="SimSun" w:hAnsi="Book Antiqua" w:hint="eastAsia"/>
          <w:bCs/>
          <w:lang w:eastAsia="zh-CN"/>
        </w:rPr>
        <w:t>whole country</w:t>
      </w:r>
      <w:r>
        <w:rPr>
          <w:rFonts w:ascii="Book Antiqua" w:hAnsi="Book Antiqua"/>
          <w:bCs/>
        </w:rPr>
        <w:t xml:space="preserve">, can provide cost effective, immediate, and long-term benefits to communities and support SDGs with co-benefits for adaptation and mitigation. </w:t>
      </w:r>
    </w:p>
    <w:p w14:paraId="0CF8D1C0" w14:textId="77777777" w:rsidR="00D431B4" w:rsidRDefault="00D431B4" w:rsidP="00D431B4">
      <w:pPr>
        <w:pStyle w:val="1"/>
        <w:spacing w:after="120"/>
        <w:ind w:left="0"/>
        <w:contextualSpacing w:val="0"/>
        <w:jc w:val="both"/>
        <w:rPr>
          <w:rFonts w:ascii="Book Antiqua" w:eastAsia="SimSun" w:hAnsi="Book Antiqua" w:cs="Times New Roman"/>
        </w:rPr>
      </w:pPr>
      <w:r>
        <w:rPr>
          <w:rFonts w:ascii="Book Antiqua" w:eastAsia="SimSun" w:hAnsi="Book Antiqua" w:cs="Times New Roman"/>
        </w:rPr>
        <w:t xml:space="preserve">The </w:t>
      </w:r>
      <w:r>
        <w:rPr>
          <w:rFonts w:ascii="Book Antiqua" w:eastAsia="SimSun" w:hAnsi="Book Antiqua" w:cs="Times New Roman"/>
          <w:i/>
          <w:iCs/>
        </w:rPr>
        <w:t>Special Report on Climate Change, Desertification, Land Degradation, Sustainable Land Management, Food Security, and Greenhouse Gas Fluxes in Terrestrial Ecosystems</w:t>
      </w:r>
      <w:r>
        <w:rPr>
          <w:rFonts w:ascii="Book Antiqua" w:eastAsia="SimSun" w:hAnsi="Book Antiqua" w:cs="Times New Roman"/>
        </w:rPr>
        <w:t xml:space="preserve"> of the Intergovernmental Panel on Climate Change (IPCC) published in August 2019 offers an integrated analysis of the interactions, co-benefits and trade-offs between DLD and climate change.</w:t>
      </w:r>
      <w:r>
        <w:rPr>
          <w:rStyle w:val="FootnoteReference"/>
          <w:rFonts w:ascii="Book Antiqua" w:eastAsia="SimSun" w:hAnsi="Book Antiqua"/>
        </w:rPr>
        <w:footnoteReference w:id="15"/>
      </w:r>
      <w:r>
        <w:rPr>
          <w:rFonts w:ascii="Book Antiqua" w:eastAsia="SimSun" w:hAnsi="Book Antiqua" w:cs="Times New Roman"/>
        </w:rPr>
        <w:t xml:space="preserve"> Land degradation is both affected by and contributes to climate change through GHG emissions and reduced rates of carbon uptake. Desertification exacerbates climate change through changes in vegetation cover, dust aerosols and GHG fluxes. In the meantime, climate change intensifies the rate and magnitude of land degradation processes and introduces new degradation patterns. Thus, the Report notes that many interventions to achieve land degradation neutrality (LDN) commonly deliver benefits for climate change adaption and </w:t>
      </w:r>
      <w:r>
        <w:rPr>
          <w:rFonts w:ascii="Book Antiqua" w:eastAsia="SimSun" w:hAnsi="Book Antiqua" w:cs="Times New Roman"/>
        </w:rPr>
        <w:lastRenderedPageBreak/>
        <w:t xml:space="preserve">mitigation. The CBD Post-2020 Global Biodiversity Framework also identifies contributions to the Paris Climate Agreement as one of five long-term goals for 2050.  </w:t>
      </w:r>
    </w:p>
    <w:p w14:paraId="40937942" w14:textId="77777777" w:rsidR="00D431B4" w:rsidRDefault="00D431B4" w:rsidP="00D431B4">
      <w:pPr>
        <w:pStyle w:val="1"/>
        <w:spacing w:after="120"/>
        <w:ind w:left="0"/>
        <w:contextualSpacing w:val="0"/>
        <w:jc w:val="both"/>
        <w:rPr>
          <w:rFonts w:ascii="Book Antiqua" w:eastAsia="SimSun" w:hAnsi="Book Antiqua" w:cs="Times New Roman"/>
        </w:rPr>
      </w:pPr>
      <w:r>
        <w:rPr>
          <w:rFonts w:ascii="Book Antiqua" w:eastAsia="SimSun" w:hAnsi="Book Antiqua" w:cs="Times New Roman"/>
        </w:rPr>
        <w:t xml:space="preserve">Amongst NEASPEC member States, restoring degraded lands (including degraded forest) is among the most cost-effective option for climate change mitigation with multiple co-benefits in Mongolia and DPRK. As the agriculture, </w:t>
      </w:r>
      <w:proofErr w:type="gramStart"/>
      <w:r>
        <w:rPr>
          <w:rFonts w:ascii="Book Antiqua" w:eastAsia="SimSun" w:hAnsi="Book Antiqua" w:cs="Times New Roman"/>
        </w:rPr>
        <w:t>forestry</w:t>
      </w:r>
      <w:proofErr w:type="gramEnd"/>
      <w:r>
        <w:rPr>
          <w:rFonts w:ascii="Book Antiqua" w:eastAsia="SimSun" w:hAnsi="Book Antiqua" w:cs="Times New Roman"/>
        </w:rPr>
        <w:t xml:space="preserve"> and land use change in Mongolia and DPRK represent about 70 and 30 percent of the total national GHG emissions, respectively, </w:t>
      </w:r>
      <w:proofErr w:type="spellStart"/>
      <w:r>
        <w:rPr>
          <w:rFonts w:ascii="Book Antiqua" w:eastAsia="SimSun" w:hAnsi="Book Antiqua" w:cs="Times New Roman"/>
        </w:rPr>
        <w:t>programmes</w:t>
      </w:r>
      <w:proofErr w:type="spellEnd"/>
      <w:r>
        <w:rPr>
          <w:rFonts w:ascii="Book Antiqua" w:eastAsia="SimSun" w:hAnsi="Book Antiqua" w:cs="Times New Roman"/>
        </w:rPr>
        <w:t xml:space="preserve"> with co-benefits have significant contributions. </w:t>
      </w:r>
    </w:p>
    <w:p w14:paraId="749FAFE4" w14:textId="77777777" w:rsidR="00D431B4" w:rsidRDefault="00D431B4" w:rsidP="00D431B4">
      <w:pPr>
        <w:tabs>
          <w:tab w:val="left" w:pos="180"/>
        </w:tabs>
        <w:spacing w:after="240"/>
        <w:jc w:val="both"/>
        <w:rPr>
          <w:rFonts w:ascii="Book Antiqua" w:hAnsi="Book Antiqua"/>
          <w:bCs/>
        </w:rPr>
      </w:pPr>
      <w:r>
        <w:rPr>
          <w:rFonts w:ascii="Book Antiqua" w:hAnsi="Book Antiqua"/>
          <w:bCs/>
        </w:rPr>
        <w:t xml:space="preserve">Such </w:t>
      </w:r>
      <w:proofErr w:type="spellStart"/>
      <w:r>
        <w:rPr>
          <w:rFonts w:ascii="Book Antiqua" w:hAnsi="Book Antiqua"/>
          <w:bCs/>
        </w:rPr>
        <w:t>programmes</w:t>
      </w:r>
      <w:proofErr w:type="spellEnd"/>
      <w:r>
        <w:rPr>
          <w:rFonts w:ascii="Book Antiqua" w:hAnsi="Book Antiqua"/>
          <w:bCs/>
        </w:rPr>
        <w:t xml:space="preserve"> identified in the IPCC Report include building individual and institutional capacity, accelerating knowledge transfer, enhancing technology transfer and deployment, enabling financial mechanisms, implementing early warning systems, undertaking risk management, and addressing gaps in implementation and upscaling.</w:t>
      </w:r>
    </w:p>
    <w:p w14:paraId="2D2BB2A5" w14:textId="77777777" w:rsidR="00D431B4" w:rsidRDefault="00D431B4" w:rsidP="00D431B4">
      <w:pPr>
        <w:pStyle w:val="1"/>
        <w:spacing w:after="120"/>
        <w:ind w:left="0"/>
        <w:contextualSpacing w:val="0"/>
        <w:jc w:val="both"/>
        <w:rPr>
          <w:rFonts w:ascii="Book Antiqua" w:hAnsi="Book Antiqua"/>
        </w:rPr>
      </w:pPr>
    </w:p>
    <w:p w14:paraId="7BD2DDEA" w14:textId="77777777" w:rsidR="00D431B4" w:rsidRPr="00D9682B" w:rsidRDefault="00D431B4" w:rsidP="00D431B4">
      <w:pPr>
        <w:pStyle w:val="1"/>
        <w:numPr>
          <w:ilvl w:val="0"/>
          <w:numId w:val="11"/>
        </w:numPr>
        <w:spacing w:after="240"/>
        <w:ind w:left="630" w:hanging="630"/>
        <w:rPr>
          <w:rFonts w:ascii="Book Antiqua" w:hAnsi="Book Antiqua"/>
          <w:b/>
          <w:color w:val="0070C0"/>
          <w:sz w:val="24"/>
          <w:szCs w:val="24"/>
        </w:rPr>
      </w:pPr>
      <w:r w:rsidRPr="00D9682B">
        <w:rPr>
          <w:rFonts w:ascii="Book Antiqua" w:hAnsi="Book Antiqua"/>
          <w:b/>
          <w:color w:val="0070C0"/>
          <w:sz w:val="24"/>
          <w:szCs w:val="24"/>
        </w:rPr>
        <w:t xml:space="preserve">Strategic Goals and Approaches </w:t>
      </w:r>
    </w:p>
    <w:p w14:paraId="639842E8" w14:textId="77777777" w:rsidR="00D431B4" w:rsidRDefault="00D431B4" w:rsidP="00D431B4">
      <w:pPr>
        <w:pStyle w:val="1"/>
        <w:spacing w:after="240"/>
        <w:ind w:left="630"/>
        <w:rPr>
          <w:rFonts w:ascii="Book Antiqua" w:hAnsi="Book Antiqua"/>
          <w:b/>
          <w:color w:val="0070C0"/>
          <w:sz w:val="28"/>
          <w:szCs w:val="28"/>
        </w:rPr>
      </w:pPr>
    </w:p>
    <w:p w14:paraId="634BA382" w14:textId="77777777" w:rsidR="00D431B4" w:rsidRPr="007D1833" w:rsidRDefault="00D431B4" w:rsidP="00D431B4">
      <w:pPr>
        <w:pStyle w:val="1"/>
        <w:numPr>
          <w:ilvl w:val="1"/>
          <w:numId w:val="11"/>
        </w:numPr>
        <w:tabs>
          <w:tab w:val="left" w:pos="90"/>
        </w:tabs>
        <w:spacing w:after="240"/>
        <w:ind w:left="180" w:hanging="180"/>
        <w:jc w:val="both"/>
        <w:rPr>
          <w:rFonts w:ascii="Book Antiqua" w:hAnsi="Book Antiqua"/>
          <w:b/>
        </w:rPr>
      </w:pPr>
      <w:r w:rsidRPr="007D1833">
        <w:rPr>
          <w:rFonts w:ascii="Book Antiqua" w:hAnsi="Book Antiqua"/>
          <w:b/>
        </w:rPr>
        <w:t>Goals</w:t>
      </w:r>
    </w:p>
    <w:p w14:paraId="67CC9B46" w14:textId="77777777" w:rsidR="00D431B4" w:rsidRDefault="00D431B4" w:rsidP="00D431B4">
      <w:pPr>
        <w:pStyle w:val="1"/>
        <w:tabs>
          <w:tab w:val="left" w:pos="90"/>
        </w:tabs>
        <w:spacing w:after="240"/>
        <w:ind w:left="180"/>
        <w:jc w:val="both"/>
        <w:rPr>
          <w:rFonts w:ascii="Book Antiqua" w:hAnsi="Book Antiqua"/>
          <w:b/>
          <w:sz w:val="24"/>
          <w:szCs w:val="24"/>
        </w:rPr>
      </w:pPr>
    </w:p>
    <w:p w14:paraId="2F6DBF99" w14:textId="77777777" w:rsidR="00D431B4" w:rsidRDefault="00D431B4" w:rsidP="00D431B4">
      <w:pPr>
        <w:pStyle w:val="1"/>
        <w:numPr>
          <w:ilvl w:val="0"/>
          <w:numId w:val="12"/>
        </w:numPr>
        <w:spacing w:after="240"/>
        <w:jc w:val="both"/>
        <w:rPr>
          <w:rFonts w:ascii="Book Antiqua" w:hAnsi="Book Antiqua"/>
        </w:rPr>
      </w:pPr>
      <w:r>
        <w:rPr>
          <w:rFonts w:ascii="Book Antiqua" w:hAnsi="Book Antiqua"/>
        </w:rPr>
        <w:t xml:space="preserve">Enhance science-based, policy-oriented cooperation to address </w:t>
      </w:r>
      <w:proofErr w:type="spellStart"/>
      <w:r>
        <w:rPr>
          <w:rFonts w:ascii="Book Antiqua" w:hAnsi="Book Antiqua"/>
        </w:rPr>
        <w:t>subregional</w:t>
      </w:r>
      <w:proofErr w:type="spellEnd"/>
      <w:r>
        <w:rPr>
          <w:rFonts w:ascii="Book Antiqua" w:hAnsi="Book Antiqua"/>
        </w:rPr>
        <w:t xml:space="preserve"> environmental challenges </w:t>
      </w:r>
    </w:p>
    <w:p w14:paraId="205C0B07" w14:textId="77777777" w:rsidR="00D431B4" w:rsidRDefault="00D431B4" w:rsidP="00D431B4">
      <w:pPr>
        <w:pStyle w:val="1"/>
        <w:numPr>
          <w:ilvl w:val="0"/>
          <w:numId w:val="12"/>
        </w:numPr>
        <w:spacing w:after="240"/>
        <w:jc w:val="both"/>
        <w:rPr>
          <w:rFonts w:ascii="Book Antiqua" w:hAnsi="Book Antiqua"/>
        </w:rPr>
      </w:pPr>
      <w:r>
        <w:rPr>
          <w:rFonts w:ascii="Book Antiqua" w:hAnsi="Book Antiqua"/>
        </w:rPr>
        <w:t xml:space="preserve">Mobilize mutual support to manage domestic environmental issues in member States </w:t>
      </w:r>
    </w:p>
    <w:p w14:paraId="061FD919" w14:textId="77777777" w:rsidR="00D431B4" w:rsidRDefault="00D431B4" w:rsidP="00D431B4">
      <w:pPr>
        <w:pStyle w:val="1"/>
        <w:numPr>
          <w:ilvl w:val="0"/>
          <w:numId w:val="12"/>
        </w:numPr>
        <w:spacing w:after="240"/>
        <w:jc w:val="both"/>
      </w:pPr>
      <w:r>
        <w:rPr>
          <w:rFonts w:ascii="Book Antiqua" w:hAnsi="Book Antiqua"/>
        </w:rPr>
        <w:t xml:space="preserve">Contribute to the implementation of national, </w:t>
      </w:r>
      <w:proofErr w:type="gramStart"/>
      <w:r>
        <w:rPr>
          <w:rFonts w:ascii="Book Antiqua" w:hAnsi="Book Antiqua"/>
        </w:rPr>
        <w:t>regional</w:t>
      </w:r>
      <w:proofErr w:type="gramEnd"/>
      <w:r>
        <w:rPr>
          <w:rFonts w:ascii="Book Antiqua" w:hAnsi="Book Antiqua"/>
        </w:rPr>
        <w:t xml:space="preserve"> and global goals for sustainable development, in particular, environment-related Sustainable Development Goals</w:t>
      </w:r>
    </w:p>
    <w:p w14:paraId="0ED8477C" w14:textId="77777777" w:rsidR="00D431B4" w:rsidRDefault="00D431B4" w:rsidP="00D431B4">
      <w:pPr>
        <w:pStyle w:val="1"/>
        <w:tabs>
          <w:tab w:val="left" w:pos="360"/>
        </w:tabs>
        <w:spacing w:after="240"/>
        <w:ind w:left="360"/>
        <w:jc w:val="both"/>
        <w:rPr>
          <w:rFonts w:ascii="Book Antiqua" w:hAnsi="Book Antiqua"/>
          <w:b/>
        </w:rPr>
      </w:pPr>
    </w:p>
    <w:p w14:paraId="1A3B2AC1" w14:textId="77777777" w:rsidR="00D431B4" w:rsidRDefault="00D431B4" w:rsidP="00D431B4">
      <w:pPr>
        <w:pStyle w:val="1"/>
        <w:numPr>
          <w:ilvl w:val="1"/>
          <w:numId w:val="11"/>
        </w:numPr>
        <w:tabs>
          <w:tab w:val="left" w:pos="90"/>
        </w:tabs>
        <w:spacing w:after="240"/>
        <w:ind w:left="180" w:hanging="180"/>
        <w:jc w:val="both"/>
        <w:rPr>
          <w:rFonts w:ascii="Book Antiqua" w:hAnsi="Book Antiqua"/>
          <w:b/>
          <w:sz w:val="24"/>
          <w:szCs w:val="24"/>
        </w:rPr>
      </w:pPr>
      <w:r>
        <w:rPr>
          <w:rFonts w:ascii="Book Antiqua" w:hAnsi="Book Antiqua"/>
          <w:b/>
          <w:sz w:val="24"/>
          <w:szCs w:val="24"/>
        </w:rPr>
        <w:t>Approaches</w:t>
      </w:r>
    </w:p>
    <w:p w14:paraId="6AE3E542" w14:textId="77777777" w:rsidR="00D431B4" w:rsidRDefault="00D431B4" w:rsidP="00D431B4">
      <w:pPr>
        <w:pStyle w:val="1"/>
        <w:tabs>
          <w:tab w:val="left" w:pos="90"/>
        </w:tabs>
        <w:spacing w:after="240"/>
        <w:ind w:left="180"/>
        <w:jc w:val="both"/>
        <w:rPr>
          <w:rFonts w:ascii="Book Antiqua" w:hAnsi="Book Antiqua"/>
          <w:b/>
          <w:sz w:val="24"/>
          <w:szCs w:val="24"/>
        </w:rPr>
      </w:pPr>
    </w:p>
    <w:p w14:paraId="43DF0931" w14:textId="77777777" w:rsidR="00D431B4" w:rsidRDefault="00D431B4" w:rsidP="00D431B4">
      <w:pPr>
        <w:pStyle w:val="1"/>
        <w:numPr>
          <w:ilvl w:val="0"/>
          <w:numId w:val="13"/>
        </w:numPr>
        <w:spacing w:after="240"/>
        <w:jc w:val="both"/>
        <w:rPr>
          <w:rFonts w:ascii="Book Antiqua" w:hAnsi="Book Antiqua"/>
          <w:strike/>
        </w:rPr>
      </w:pPr>
      <w:r>
        <w:rPr>
          <w:rFonts w:ascii="Book Antiqua" w:hAnsi="Book Antiqua"/>
        </w:rPr>
        <w:t xml:space="preserve">Develop and implement joint actions promoting science-policy linkages in each programmatic area </w:t>
      </w:r>
    </w:p>
    <w:p w14:paraId="5E706C26" w14:textId="77777777" w:rsidR="00D431B4" w:rsidRDefault="00D431B4" w:rsidP="00D431B4">
      <w:pPr>
        <w:pStyle w:val="1"/>
        <w:numPr>
          <w:ilvl w:val="0"/>
          <w:numId w:val="13"/>
        </w:numPr>
        <w:spacing w:after="240"/>
        <w:jc w:val="both"/>
        <w:rPr>
          <w:rFonts w:ascii="Book Antiqua" w:hAnsi="Book Antiqua"/>
        </w:rPr>
      </w:pPr>
      <w:r>
        <w:rPr>
          <w:rFonts w:ascii="Book Antiqua" w:hAnsi="Book Antiqua"/>
        </w:rPr>
        <w:t xml:space="preserve">Focus on joint actions to maximize the efficiency and impact of </w:t>
      </w:r>
      <w:proofErr w:type="spellStart"/>
      <w:r>
        <w:rPr>
          <w:rFonts w:ascii="Book Antiqua" w:hAnsi="Book Antiqua"/>
        </w:rPr>
        <w:t>subregional</w:t>
      </w:r>
      <w:proofErr w:type="spellEnd"/>
      <w:r>
        <w:rPr>
          <w:rFonts w:ascii="Book Antiqua" w:hAnsi="Book Antiqua"/>
        </w:rPr>
        <w:t xml:space="preserve"> cooperation</w:t>
      </w:r>
    </w:p>
    <w:p w14:paraId="19F1D55C" w14:textId="77777777" w:rsidR="00D431B4" w:rsidRDefault="00D431B4" w:rsidP="00D431B4">
      <w:pPr>
        <w:pStyle w:val="1"/>
        <w:numPr>
          <w:ilvl w:val="0"/>
          <w:numId w:val="13"/>
        </w:numPr>
        <w:spacing w:after="240"/>
        <w:jc w:val="both"/>
        <w:rPr>
          <w:rFonts w:ascii="Book Antiqua" w:hAnsi="Book Antiqua"/>
        </w:rPr>
      </w:pPr>
      <w:r>
        <w:rPr>
          <w:rFonts w:ascii="Book Antiqua" w:hAnsi="Book Antiqua"/>
        </w:rPr>
        <w:t xml:space="preserve">Support knowledge sharing and capacity development among member governments and other stakeholders as appropriate </w:t>
      </w:r>
    </w:p>
    <w:p w14:paraId="6D92DEF2" w14:textId="77777777" w:rsidR="00D431B4" w:rsidRDefault="00D431B4" w:rsidP="00D431B4">
      <w:pPr>
        <w:pStyle w:val="1"/>
        <w:numPr>
          <w:ilvl w:val="0"/>
          <w:numId w:val="13"/>
        </w:numPr>
        <w:spacing w:after="240"/>
        <w:jc w:val="both"/>
        <w:rPr>
          <w:rFonts w:ascii="Book Antiqua" w:hAnsi="Book Antiqua"/>
        </w:rPr>
      </w:pPr>
      <w:r>
        <w:rPr>
          <w:rFonts w:ascii="Book Antiqua" w:hAnsi="Book Antiqua"/>
        </w:rPr>
        <w:t xml:space="preserve">Operate effective platforms and networks for member governments and other major stakeholders to enhance </w:t>
      </w:r>
      <w:proofErr w:type="spellStart"/>
      <w:r>
        <w:rPr>
          <w:rFonts w:ascii="Book Antiqua" w:hAnsi="Book Antiqua"/>
        </w:rPr>
        <w:t>subregional</w:t>
      </w:r>
      <w:proofErr w:type="spellEnd"/>
      <w:r>
        <w:rPr>
          <w:rFonts w:ascii="Book Antiqua" w:hAnsi="Book Antiqua"/>
        </w:rPr>
        <w:t xml:space="preserve"> environmental cooperation and coordinated actions</w:t>
      </w:r>
    </w:p>
    <w:p w14:paraId="367FD06B" w14:textId="77777777" w:rsidR="00D431B4" w:rsidRDefault="00D431B4" w:rsidP="00D431B4">
      <w:pPr>
        <w:pStyle w:val="1"/>
        <w:numPr>
          <w:ilvl w:val="0"/>
          <w:numId w:val="13"/>
        </w:numPr>
        <w:spacing w:after="240"/>
        <w:jc w:val="both"/>
        <w:rPr>
          <w:rFonts w:ascii="Book Antiqua" w:hAnsi="Book Antiqua"/>
        </w:rPr>
      </w:pPr>
      <w:r>
        <w:rPr>
          <w:rFonts w:ascii="Book Antiqua" w:hAnsi="Book Antiqua"/>
        </w:rPr>
        <w:t xml:space="preserve">Identify and enhance potential linkages between NEASPEC and </w:t>
      </w:r>
      <w:proofErr w:type="spellStart"/>
      <w:r>
        <w:rPr>
          <w:rFonts w:ascii="Book Antiqua" w:hAnsi="Book Antiqua"/>
        </w:rPr>
        <w:t>subregional</w:t>
      </w:r>
      <w:proofErr w:type="spellEnd"/>
      <w:r>
        <w:rPr>
          <w:rFonts w:ascii="Book Antiqua" w:hAnsi="Book Antiqua"/>
        </w:rPr>
        <w:t xml:space="preserve"> </w:t>
      </w:r>
      <w:proofErr w:type="spellStart"/>
      <w:r>
        <w:rPr>
          <w:rFonts w:ascii="Book Antiqua" w:hAnsi="Book Antiqua"/>
        </w:rPr>
        <w:t>programmes</w:t>
      </w:r>
      <w:proofErr w:type="spellEnd"/>
      <w:r>
        <w:rPr>
          <w:rFonts w:ascii="Book Antiqua" w:hAnsi="Book Antiqua"/>
        </w:rPr>
        <w:t xml:space="preserve"> and regional and global goals </w:t>
      </w:r>
    </w:p>
    <w:p w14:paraId="606B5EED" w14:textId="77777777" w:rsidR="00D431B4" w:rsidRDefault="00D431B4" w:rsidP="00D431B4">
      <w:pPr>
        <w:pStyle w:val="1"/>
        <w:spacing w:after="240"/>
        <w:ind w:left="360"/>
        <w:jc w:val="both"/>
        <w:rPr>
          <w:rFonts w:ascii="Book Antiqua" w:hAnsi="Book Antiqua"/>
        </w:rPr>
      </w:pPr>
    </w:p>
    <w:p w14:paraId="70818A2A" w14:textId="349E69DD" w:rsidR="00D431B4" w:rsidRDefault="00D80938" w:rsidP="00F553F9">
      <w:pPr>
        <w:rPr>
          <w:rFonts w:ascii="Book Antiqua" w:hAnsi="Book Antiqua"/>
        </w:rPr>
      </w:pPr>
      <w:r>
        <w:rPr>
          <w:rFonts w:ascii="Book Antiqua" w:hAnsi="Book Antiqua"/>
        </w:rPr>
        <w:br w:type="page"/>
      </w:r>
    </w:p>
    <w:p w14:paraId="490EC8A3" w14:textId="77777777" w:rsidR="00D431B4" w:rsidRPr="00D9682B" w:rsidRDefault="00D431B4" w:rsidP="00D431B4">
      <w:pPr>
        <w:pStyle w:val="1"/>
        <w:numPr>
          <w:ilvl w:val="0"/>
          <w:numId w:val="11"/>
        </w:numPr>
        <w:spacing w:after="240"/>
        <w:ind w:left="630" w:hanging="630"/>
        <w:rPr>
          <w:rFonts w:ascii="Book Antiqua" w:hAnsi="Book Antiqua"/>
          <w:b/>
          <w:color w:val="0070C0"/>
          <w:sz w:val="24"/>
          <w:szCs w:val="24"/>
        </w:rPr>
      </w:pPr>
      <w:r w:rsidRPr="00D9682B">
        <w:rPr>
          <w:rFonts w:ascii="Book Antiqua" w:hAnsi="Book Antiqua"/>
          <w:b/>
          <w:color w:val="0070C0"/>
          <w:sz w:val="24"/>
          <w:szCs w:val="24"/>
        </w:rPr>
        <w:lastRenderedPageBreak/>
        <w:t xml:space="preserve">Objectives and Activities  </w:t>
      </w:r>
    </w:p>
    <w:p w14:paraId="5733F3A0" w14:textId="77777777" w:rsidR="00D431B4" w:rsidRDefault="00D431B4" w:rsidP="00D431B4">
      <w:pPr>
        <w:pStyle w:val="1"/>
        <w:spacing w:after="240"/>
        <w:ind w:left="630"/>
        <w:rPr>
          <w:rFonts w:ascii="Book Antiqua" w:hAnsi="Book Antiqua"/>
          <w:b/>
          <w:color w:val="0070C0"/>
          <w:sz w:val="28"/>
          <w:szCs w:val="28"/>
        </w:rPr>
      </w:pPr>
    </w:p>
    <w:p w14:paraId="7F1615DE" w14:textId="77777777" w:rsidR="00D431B4" w:rsidRPr="007D1833" w:rsidRDefault="00D431B4" w:rsidP="00D431B4">
      <w:pPr>
        <w:pStyle w:val="1"/>
        <w:numPr>
          <w:ilvl w:val="1"/>
          <w:numId w:val="11"/>
        </w:numPr>
        <w:tabs>
          <w:tab w:val="left" w:pos="90"/>
        </w:tabs>
        <w:spacing w:after="240" w:line="240" w:lineRule="auto"/>
        <w:ind w:left="180" w:hanging="180"/>
        <w:jc w:val="both"/>
        <w:rPr>
          <w:rFonts w:ascii="Book Antiqua" w:hAnsi="Book Antiqua"/>
          <w:b/>
        </w:rPr>
      </w:pPr>
      <w:r w:rsidRPr="007D1833">
        <w:rPr>
          <w:rFonts w:ascii="Book Antiqua" w:hAnsi="Book Antiqua"/>
          <w:b/>
        </w:rPr>
        <w:t xml:space="preserve">Air Pollution </w:t>
      </w:r>
    </w:p>
    <w:p w14:paraId="0D51D033" w14:textId="77777777" w:rsidR="00D431B4" w:rsidRDefault="00D431B4" w:rsidP="00D431B4">
      <w:pPr>
        <w:pStyle w:val="1"/>
        <w:spacing w:after="240" w:line="240" w:lineRule="auto"/>
        <w:jc w:val="both"/>
        <w:rPr>
          <w:rFonts w:ascii="Book Antiqua" w:hAnsi="Book Antiqua"/>
          <w:b/>
        </w:rPr>
      </w:pPr>
    </w:p>
    <w:p w14:paraId="16ACF365" w14:textId="77777777" w:rsidR="00D431B4" w:rsidRDefault="00D431B4" w:rsidP="00D431B4">
      <w:pPr>
        <w:pStyle w:val="1"/>
        <w:numPr>
          <w:ilvl w:val="0"/>
          <w:numId w:val="14"/>
        </w:numPr>
        <w:spacing w:after="240" w:line="240" w:lineRule="auto"/>
        <w:jc w:val="both"/>
        <w:rPr>
          <w:rFonts w:ascii="Book Antiqua" w:hAnsi="Book Antiqua"/>
          <w:b/>
        </w:rPr>
      </w:pPr>
      <w:r>
        <w:rPr>
          <w:rFonts w:ascii="Book Antiqua" w:hAnsi="Book Antiqua"/>
          <w:b/>
        </w:rPr>
        <w:t xml:space="preserve">Objectives: </w:t>
      </w:r>
    </w:p>
    <w:p w14:paraId="04022C62" w14:textId="77777777" w:rsidR="00D431B4" w:rsidRDefault="00D431B4" w:rsidP="00D431B4">
      <w:pPr>
        <w:pStyle w:val="1"/>
        <w:numPr>
          <w:ilvl w:val="1"/>
          <w:numId w:val="14"/>
        </w:numPr>
        <w:spacing w:after="0"/>
        <w:jc w:val="both"/>
        <w:rPr>
          <w:rFonts w:ascii="Book Antiqua" w:hAnsi="Book Antiqua"/>
        </w:rPr>
      </w:pPr>
      <w:r>
        <w:rPr>
          <w:rFonts w:ascii="Book Antiqua" w:hAnsi="Book Antiqua"/>
        </w:rPr>
        <w:t>By 2025, develop the North-East Asia Clean Air Partnership to be fully-functioning by facilitating information sharing, joint study, and policy and technology cooperation among member States.</w:t>
      </w:r>
    </w:p>
    <w:p w14:paraId="626D520A" w14:textId="77777777" w:rsidR="00D431B4" w:rsidRDefault="00D431B4" w:rsidP="00D431B4">
      <w:pPr>
        <w:pStyle w:val="1"/>
        <w:spacing w:after="240"/>
        <w:jc w:val="both"/>
        <w:rPr>
          <w:rFonts w:ascii="Book Antiqua" w:hAnsi="Book Antiqua"/>
          <w:b/>
        </w:rPr>
      </w:pPr>
    </w:p>
    <w:p w14:paraId="16F12A71" w14:textId="77777777" w:rsidR="00D431B4" w:rsidRDefault="00D431B4" w:rsidP="00D431B4">
      <w:pPr>
        <w:pStyle w:val="1"/>
        <w:numPr>
          <w:ilvl w:val="0"/>
          <w:numId w:val="14"/>
        </w:numPr>
        <w:spacing w:after="240"/>
        <w:jc w:val="both"/>
        <w:rPr>
          <w:rFonts w:ascii="Book Antiqua" w:hAnsi="Book Antiqua"/>
          <w:b/>
        </w:rPr>
      </w:pPr>
      <w:r>
        <w:rPr>
          <w:rFonts w:ascii="Book Antiqua" w:hAnsi="Book Antiqua"/>
          <w:b/>
        </w:rPr>
        <w:t>Activities:</w:t>
      </w:r>
    </w:p>
    <w:p w14:paraId="3CF5FE9A" w14:textId="77777777" w:rsidR="00D431B4" w:rsidRDefault="00D431B4" w:rsidP="00D431B4">
      <w:pPr>
        <w:pStyle w:val="1"/>
        <w:numPr>
          <w:ilvl w:val="1"/>
          <w:numId w:val="14"/>
        </w:numPr>
        <w:jc w:val="both"/>
        <w:rPr>
          <w:rFonts w:ascii="Book Antiqua" w:hAnsi="Book Antiqua" w:cs="Times New Roman"/>
        </w:rPr>
      </w:pPr>
      <w:r>
        <w:rPr>
          <w:rFonts w:ascii="Book Antiqua" w:hAnsi="Book Antiqua" w:cs="Times New Roman"/>
        </w:rPr>
        <w:t xml:space="preserve">Implement priority areas and activities agreed by member States </w:t>
      </w:r>
      <w:r>
        <w:t xml:space="preserve"> </w:t>
      </w:r>
    </w:p>
    <w:p w14:paraId="443533B6" w14:textId="77777777" w:rsidR="00D431B4" w:rsidRDefault="00D431B4" w:rsidP="00D431B4">
      <w:pPr>
        <w:pStyle w:val="1"/>
        <w:numPr>
          <w:ilvl w:val="1"/>
          <w:numId w:val="14"/>
        </w:numPr>
        <w:spacing w:after="0"/>
        <w:jc w:val="both"/>
        <w:rPr>
          <w:rFonts w:ascii="Book Antiqua" w:hAnsi="Book Antiqua" w:cs="Times New Roman"/>
        </w:rPr>
      </w:pPr>
      <w:r>
        <w:rPr>
          <w:rFonts w:ascii="Book Antiqua" w:hAnsi="Book Antiqua"/>
        </w:rPr>
        <w:t xml:space="preserve">Encourage the exchange of information to support collaboration among scientific and academic communities </w:t>
      </w:r>
    </w:p>
    <w:p w14:paraId="480D97D2" w14:textId="77777777" w:rsidR="00D431B4" w:rsidRDefault="00D431B4" w:rsidP="00D431B4">
      <w:pPr>
        <w:pStyle w:val="1"/>
        <w:numPr>
          <w:ilvl w:val="1"/>
          <w:numId w:val="14"/>
        </w:numPr>
        <w:spacing w:after="0"/>
        <w:jc w:val="both"/>
        <w:rPr>
          <w:rFonts w:ascii="Book Antiqua" w:hAnsi="Book Antiqua" w:cs="Times New Roman"/>
        </w:rPr>
      </w:pPr>
      <w:r>
        <w:rPr>
          <w:rFonts w:ascii="Book Antiqua" w:hAnsi="Book Antiqua"/>
        </w:rPr>
        <w:t xml:space="preserve">Promote wider participation of stakeholders in </w:t>
      </w:r>
      <w:proofErr w:type="spellStart"/>
      <w:r>
        <w:rPr>
          <w:rFonts w:ascii="Book Antiqua" w:hAnsi="Book Antiqua"/>
        </w:rPr>
        <w:t>subregional</w:t>
      </w:r>
      <w:proofErr w:type="spellEnd"/>
      <w:r>
        <w:rPr>
          <w:rFonts w:ascii="Book Antiqua" w:hAnsi="Book Antiqua"/>
        </w:rPr>
        <w:t xml:space="preserve"> cooperation on tackling air pollution </w:t>
      </w:r>
    </w:p>
    <w:p w14:paraId="530AF653" w14:textId="1DD2BC24" w:rsidR="00D431B4" w:rsidRPr="004317E3" w:rsidRDefault="00D431B4" w:rsidP="004317E3">
      <w:pPr>
        <w:pStyle w:val="1"/>
        <w:numPr>
          <w:ilvl w:val="1"/>
          <w:numId w:val="14"/>
        </w:numPr>
        <w:spacing w:after="0"/>
        <w:jc w:val="both"/>
        <w:rPr>
          <w:rFonts w:ascii="Book Antiqua" w:hAnsi="Book Antiqua"/>
        </w:rPr>
      </w:pPr>
      <w:r>
        <w:rPr>
          <w:rFonts w:ascii="Book Antiqua" w:hAnsi="Book Antiqua"/>
        </w:rPr>
        <w:t xml:space="preserve">Liaise with multilateral, </w:t>
      </w:r>
      <w:proofErr w:type="gramStart"/>
      <w:r>
        <w:rPr>
          <w:rFonts w:ascii="Book Antiqua" w:hAnsi="Book Antiqua"/>
        </w:rPr>
        <w:t>regional</w:t>
      </w:r>
      <w:proofErr w:type="gramEnd"/>
      <w:r>
        <w:rPr>
          <w:rFonts w:ascii="Book Antiqua" w:hAnsi="Book Antiqua"/>
        </w:rPr>
        <w:t xml:space="preserve"> and global mechanisms on air pollution for building synergies with relevant activities  </w:t>
      </w:r>
    </w:p>
    <w:p w14:paraId="66989D6D" w14:textId="77777777" w:rsidR="00D431B4" w:rsidRDefault="00D431B4" w:rsidP="00D431B4">
      <w:pPr>
        <w:pStyle w:val="1"/>
        <w:spacing w:after="0"/>
        <w:ind w:left="1440"/>
        <w:jc w:val="both"/>
        <w:rPr>
          <w:rFonts w:ascii="Book Antiqua" w:hAnsi="Book Antiqua" w:cs="Times New Roman"/>
        </w:rPr>
      </w:pPr>
      <w:r>
        <w:rPr>
          <w:rFonts w:ascii="Book Antiqua" w:hAnsi="Book Antiqua"/>
        </w:rPr>
        <w:t xml:space="preserve"> </w:t>
      </w:r>
    </w:p>
    <w:p w14:paraId="07DC3F2F" w14:textId="77777777" w:rsidR="00D431B4" w:rsidRPr="007D1833" w:rsidRDefault="00D431B4" w:rsidP="00D431B4">
      <w:pPr>
        <w:pStyle w:val="1"/>
        <w:numPr>
          <w:ilvl w:val="1"/>
          <w:numId w:val="11"/>
        </w:numPr>
        <w:tabs>
          <w:tab w:val="left" w:pos="90"/>
        </w:tabs>
        <w:spacing w:after="240" w:line="240" w:lineRule="auto"/>
        <w:ind w:left="180" w:hanging="180"/>
        <w:jc w:val="both"/>
        <w:rPr>
          <w:rFonts w:ascii="Book Antiqua" w:hAnsi="Book Antiqua"/>
          <w:b/>
        </w:rPr>
      </w:pPr>
      <w:r w:rsidRPr="007D1833">
        <w:rPr>
          <w:rFonts w:ascii="Book Antiqua" w:hAnsi="Book Antiqua"/>
          <w:b/>
        </w:rPr>
        <w:t xml:space="preserve">Biodiversity and Nature Conservation </w:t>
      </w:r>
    </w:p>
    <w:p w14:paraId="2770A6B9" w14:textId="77777777" w:rsidR="00D431B4" w:rsidRDefault="00D431B4" w:rsidP="00D431B4">
      <w:pPr>
        <w:pStyle w:val="1"/>
        <w:tabs>
          <w:tab w:val="left" w:pos="90"/>
        </w:tabs>
        <w:spacing w:after="240" w:line="240" w:lineRule="auto"/>
        <w:ind w:left="180"/>
        <w:jc w:val="both"/>
        <w:rPr>
          <w:rFonts w:ascii="Book Antiqua" w:hAnsi="Book Antiqua"/>
          <w:b/>
          <w:sz w:val="24"/>
          <w:szCs w:val="24"/>
        </w:rPr>
      </w:pPr>
    </w:p>
    <w:p w14:paraId="27B8C6F9" w14:textId="77777777" w:rsidR="00D431B4" w:rsidRDefault="00D431B4" w:rsidP="00D431B4">
      <w:pPr>
        <w:pStyle w:val="1"/>
        <w:numPr>
          <w:ilvl w:val="0"/>
          <w:numId w:val="14"/>
        </w:numPr>
        <w:spacing w:after="240" w:line="240" w:lineRule="auto"/>
        <w:jc w:val="both"/>
        <w:rPr>
          <w:rFonts w:ascii="Book Antiqua" w:hAnsi="Book Antiqua"/>
          <w:b/>
        </w:rPr>
      </w:pPr>
      <w:r>
        <w:rPr>
          <w:rFonts w:ascii="Book Antiqua" w:hAnsi="Book Antiqua"/>
          <w:b/>
        </w:rPr>
        <w:t>Objectives:</w:t>
      </w:r>
    </w:p>
    <w:p w14:paraId="76B60809" w14:textId="77777777" w:rsidR="00D431B4" w:rsidRDefault="00D431B4" w:rsidP="00D431B4">
      <w:pPr>
        <w:pStyle w:val="1"/>
        <w:numPr>
          <w:ilvl w:val="1"/>
          <w:numId w:val="14"/>
        </w:numPr>
        <w:spacing w:after="0"/>
        <w:contextualSpacing w:val="0"/>
        <w:jc w:val="both"/>
        <w:rPr>
          <w:rFonts w:ascii="Book Antiqua" w:hAnsi="Book Antiqua" w:cs="Times New Roman"/>
        </w:rPr>
      </w:pPr>
      <w:r>
        <w:rPr>
          <w:rFonts w:ascii="Book Antiqua" w:hAnsi="Book Antiqua" w:cs="Times New Roman"/>
        </w:rPr>
        <w:t>By 2025, build and/or strengthen institutional arrangements on the conservation of flagship species</w:t>
      </w:r>
      <w:r>
        <w:rPr>
          <w:rStyle w:val="FootnoteReference"/>
          <w:rFonts w:ascii="Book Antiqua" w:hAnsi="Book Antiqua"/>
        </w:rPr>
        <w:footnoteReference w:id="16"/>
      </w:r>
      <w:r>
        <w:rPr>
          <w:rFonts w:ascii="Book Antiqua" w:hAnsi="Book Antiqua" w:cs="Times New Roman"/>
        </w:rPr>
        <w:t xml:space="preserve"> and their habitats in support of the NEASPEC Nature Conservation Strategy</w:t>
      </w:r>
      <w:r>
        <w:rPr>
          <w:rStyle w:val="FootnoteReference"/>
          <w:rFonts w:ascii="Book Antiqua" w:hAnsi="Book Antiqua"/>
        </w:rPr>
        <w:footnoteReference w:id="17"/>
      </w:r>
      <w:r>
        <w:rPr>
          <w:rFonts w:ascii="Book Antiqua" w:hAnsi="Book Antiqua" w:cs="Times New Roman"/>
        </w:rPr>
        <w:t>, national biodiversity strategy and action plan, the Post-2020 Biodiversity Framework and the SDG 15.</w:t>
      </w:r>
    </w:p>
    <w:p w14:paraId="405F2958" w14:textId="77777777" w:rsidR="00D431B4" w:rsidRDefault="00D431B4" w:rsidP="00D431B4">
      <w:pPr>
        <w:pStyle w:val="1"/>
        <w:spacing w:after="0"/>
        <w:ind w:left="1440"/>
        <w:contextualSpacing w:val="0"/>
        <w:jc w:val="both"/>
        <w:rPr>
          <w:rFonts w:ascii="Book Antiqua" w:hAnsi="Book Antiqua" w:cs="Times New Roman"/>
        </w:rPr>
      </w:pPr>
    </w:p>
    <w:p w14:paraId="1DC1FA59" w14:textId="77777777" w:rsidR="00D431B4" w:rsidRDefault="00D431B4" w:rsidP="00D431B4">
      <w:pPr>
        <w:pStyle w:val="1"/>
        <w:numPr>
          <w:ilvl w:val="0"/>
          <w:numId w:val="14"/>
        </w:numPr>
        <w:spacing w:after="240"/>
        <w:jc w:val="both"/>
        <w:rPr>
          <w:rFonts w:ascii="Book Antiqua" w:hAnsi="Book Antiqua"/>
          <w:b/>
        </w:rPr>
      </w:pPr>
      <w:r>
        <w:rPr>
          <w:rFonts w:ascii="Book Antiqua" w:hAnsi="Book Antiqua"/>
          <w:b/>
        </w:rPr>
        <w:t>Activities:</w:t>
      </w:r>
    </w:p>
    <w:p w14:paraId="35ADF8F5" w14:textId="77777777" w:rsidR="00D431B4" w:rsidRDefault="00D431B4" w:rsidP="00D431B4">
      <w:pPr>
        <w:pStyle w:val="1"/>
        <w:numPr>
          <w:ilvl w:val="1"/>
          <w:numId w:val="14"/>
        </w:numPr>
        <w:spacing w:after="0"/>
        <w:jc w:val="both"/>
        <w:rPr>
          <w:rFonts w:ascii="Book Antiqua" w:hAnsi="Book Antiqua" w:cs="Times New Roman"/>
        </w:rPr>
      </w:pPr>
      <w:r>
        <w:rPr>
          <w:rFonts w:ascii="Book Antiqua" w:hAnsi="Book Antiqua" w:cs="Times New Roman"/>
        </w:rPr>
        <w:t xml:space="preserve">Support strengthening bilateral, multilateral and </w:t>
      </w:r>
      <w:proofErr w:type="spellStart"/>
      <w:r>
        <w:rPr>
          <w:rFonts w:ascii="Book Antiqua" w:hAnsi="Book Antiqua" w:cs="Times New Roman"/>
        </w:rPr>
        <w:t>multistakeholder</w:t>
      </w:r>
      <w:proofErr w:type="spellEnd"/>
      <w:r>
        <w:rPr>
          <w:rFonts w:ascii="Book Antiqua" w:hAnsi="Book Antiqua" w:cs="Times New Roman"/>
        </w:rPr>
        <w:t xml:space="preserve"> cooperation, for institutionalizing cross-border and connectivity conservation between national protected areas including </w:t>
      </w:r>
      <w:r>
        <w:rPr>
          <w:rFonts w:ascii="Book Antiqua" w:eastAsia="SimSun" w:hAnsi="Book Antiqua" w:cs="Times New Roman" w:hint="eastAsia"/>
          <w:lang w:eastAsia="zh-CN"/>
        </w:rPr>
        <w:t xml:space="preserve">protected wetlands in </w:t>
      </w:r>
      <w:r>
        <w:rPr>
          <w:rFonts w:ascii="Book Antiqua" w:hAnsi="Book Antiqua" w:cs="Times New Roman"/>
        </w:rPr>
        <w:t xml:space="preserve">the Tumen River area </w:t>
      </w:r>
    </w:p>
    <w:p w14:paraId="6E349390" w14:textId="77777777" w:rsidR="00D431B4" w:rsidRDefault="00D431B4" w:rsidP="00D431B4">
      <w:pPr>
        <w:pStyle w:val="1"/>
        <w:numPr>
          <w:ilvl w:val="1"/>
          <w:numId w:val="14"/>
        </w:numPr>
        <w:spacing w:after="0"/>
        <w:jc w:val="both"/>
        <w:rPr>
          <w:rFonts w:ascii="Book Antiqua" w:hAnsi="Book Antiqua" w:cs="Times New Roman"/>
        </w:rPr>
      </w:pPr>
      <w:r>
        <w:rPr>
          <w:rFonts w:ascii="Book Antiqua" w:hAnsi="Book Antiqua" w:cs="Times New Roman"/>
        </w:rPr>
        <w:t xml:space="preserve">Facilitate capacity building and knowledge sharing on ecosystem approach/management in habitats and protected areas of the flagship species </w:t>
      </w:r>
    </w:p>
    <w:p w14:paraId="720DDCDE" w14:textId="77777777" w:rsidR="00D431B4" w:rsidRDefault="00D431B4" w:rsidP="00D431B4">
      <w:pPr>
        <w:pStyle w:val="1"/>
        <w:numPr>
          <w:ilvl w:val="1"/>
          <w:numId w:val="14"/>
        </w:numPr>
        <w:spacing w:after="0"/>
        <w:jc w:val="both"/>
        <w:rPr>
          <w:rFonts w:ascii="Book Antiqua" w:hAnsi="Book Antiqua" w:cs="Times New Roman"/>
        </w:rPr>
      </w:pPr>
      <w:r>
        <w:rPr>
          <w:rFonts w:ascii="Book Antiqua" w:hAnsi="Book Antiqua" w:cs="Times New Roman"/>
        </w:rPr>
        <w:t xml:space="preserve">Facilitate capacity building and knowledge sharing on the conservation of flagship species, including monitoring and prevention of wildlife diseases  </w:t>
      </w:r>
    </w:p>
    <w:p w14:paraId="18DF1DAC" w14:textId="6841B9C3" w:rsidR="007D1833" w:rsidRDefault="00D431B4" w:rsidP="00D431B4">
      <w:pPr>
        <w:pStyle w:val="1"/>
        <w:numPr>
          <w:ilvl w:val="1"/>
          <w:numId w:val="14"/>
        </w:numPr>
        <w:spacing w:after="0"/>
        <w:contextualSpacing w:val="0"/>
        <w:jc w:val="both"/>
        <w:rPr>
          <w:rFonts w:ascii="Book Antiqua" w:hAnsi="Book Antiqua" w:cs="Times New Roman"/>
        </w:rPr>
      </w:pPr>
      <w:r>
        <w:rPr>
          <w:rFonts w:ascii="Book Antiqua" w:hAnsi="Book Antiqua" w:cs="Times New Roman"/>
        </w:rPr>
        <w:t xml:space="preserve">Liaise with multilateral, </w:t>
      </w:r>
      <w:proofErr w:type="gramStart"/>
      <w:r>
        <w:rPr>
          <w:rFonts w:ascii="Book Antiqua" w:hAnsi="Book Antiqua" w:cs="Times New Roman"/>
        </w:rPr>
        <w:t>regional</w:t>
      </w:r>
      <w:proofErr w:type="gramEnd"/>
      <w:r>
        <w:rPr>
          <w:rFonts w:ascii="Book Antiqua" w:hAnsi="Book Antiqua" w:cs="Times New Roman"/>
        </w:rPr>
        <w:t xml:space="preserve"> and global mechanisms on biodiversity and nature conservation and develop partnership activities</w:t>
      </w:r>
    </w:p>
    <w:p w14:paraId="42820E0D" w14:textId="258A5610" w:rsidR="00D431B4" w:rsidRDefault="007D1833" w:rsidP="007D1833">
      <w:r>
        <w:rPr>
          <w:rFonts w:ascii="Book Antiqua" w:hAnsi="Book Antiqua" w:cs="Times New Roman"/>
        </w:rPr>
        <w:br w:type="page"/>
      </w:r>
    </w:p>
    <w:p w14:paraId="1261D5E7" w14:textId="77777777" w:rsidR="00D431B4" w:rsidRPr="007D1833" w:rsidRDefault="00D431B4" w:rsidP="00D431B4">
      <w:pPr>
        <w:pStyle w:val="1"/>
        <w:numPr>
          <w:ilvl w:val="1"/>
          <w:numId w:val="11"/>
        </w:numPr>
        <w:tabs>
          <w:tab w:val="left" w:pos="90"/>
        </w:tabs>
        <w:spacing w:after="240" w:line="240" w:lineRule="auto"/>
        <w:ind w:left="180" w:hanging="180"/>
        <w:jc w:val="both"/>
        <w:rPr>
          <w:rFonts w:ascii="Book Antiqua" w:hAnsi="Book Antiqua"/>
          <w:b/>
        </w:rPr>
      </w:pPr>
      <w:r w:rsidRPr="007D1833">
        <w:rPr>
          <w:rFonts w:ascii="Book Antiqua" w:hAnsi="Book Antiqua"/>
          <w:b/>
        </w:rPr>
        <w:lastRenderedPageBreak/>
        <w:t>Marine Protected Areas</w:t>
      </w:r>
    </w:p>
    <w:p w14:paraId="4E57B5D7" w14:textId="77777777" w:rsidR="00D431B4" w:rsidRDefault="00D431B4" w:rsidP="00D431B4">
      <w:pPr>
        <w:pStyle w:val="1"/>
        <w:spacing w:after="0"/>
        <w:ind w:left="1440"/>
        <w:contextualSpacing w:val="0"/>
        <w:jc w:val="both"/>
        <w:rPr>
          <w:rFonts w:ascii="Book Antiqua" w:hAnsi="Book Antiqua" w:cs="Times New Roman"/>
        </w:rPr>
      </w:pPr>
    </w:p>
    <w:p w14:paraId="15E7D86B" w14:textId="77777777" w:rsidR="00D431B4" w:rsidRDefault="00D431B4" w:rsidP="00D431B4">
      <w:pPr>
        <w:pStyle w:val="1"/>
        <w:numPr>
          <w:ilvl w:val="0"/>
          <w:numId w:val="14"/>
        </w:numPr>
        <w:spacing w:after="240" w:line="240" w:lineRule="auto"/>
        <w:jc w:val="both"/>
        <w:rPr>
          <w:rFonts w:ascii="Book Antiqua" w:hAnsi="Book Antiqua"/>
          <w:b/>
        </w:rPr>
      </w:pPr>
      <w:r>
        <w:rPr>
          <w:rFonts w:ascii="Book Antiqua" w:hAnsi="Book Antiqua"/>
          <w:b/>
        </w:rPr>
        <w:t>Objectives:</w:t>
      </w:r>
    </w:p>
    <w:p w14:paraId="7A663624" w14:textId="63A05778" w:rsidR="00D431B4" w:rsidRDefault="00D431B4" w:rsidP="00D431B4">
      <w:pPr>
        <w:pStyle w:val="1"/>
        <w:numPr>
          <w:ilvl w:val="1"/>
          <w:numId w:val="14"/>
        </w:numPr>
        <w:spacing w:after="0"/>
        <w:contextualSpacing w:val="0"/>
        <w:jc w:val="both"/>
        <w:rPr>
          <w:rFonts w:ascii="Book Antiqua" w:hAnsi="Book Antiqua" w:cs="Times New Roman"/>
        </w:rPr>
      </w:pPr>
      <w:r>
        <w:rPr>
          <w:rFonts w:ascii="Book Antiqua" w:hAnsi="Book Antiqua" w:cs="Times New Roman"/>
        </w:rPr>
        <w:t>By 2025, develop NEAMPAN to be fully functional for strengthening partnerships among target MPAs and stakeholders and enhancing capacity to achieve, inter alia, the SDG 14 and relevant goals associated with marine and coastal biodiversity in a holistic manner.</w:t>
      </w:r>
    </w:p>
    <w:p w14:paraId="3E3808E7" w14:textId="77777777" w:rsidR="00D431B4" w:rsidRDefault="00D431B4" w:rsidP="00D431B4">
      <w:pPr>
        <w:pStyle w:val="1"/>
        <w:spacing w:after="0"/>
        <w:ind w:left="1440"/>
        <w:contextualSpacing w:val="0"/>
        <w:jc w:val="both"/>
        <w:rPr>
          <w:rFonts w:ascii="Book Antiqua" w:hAnsi="Book Antiqua" w:cs="Times New Roman"/>
        </w:rPr>
      </w:pPr>
    </w:p>
    <w:p w14:paraId="06BA4948" w14:textId="77777777" w:rsidR="00D431B4" w:rsidRDefault="00D431B4" w:rsidP="00D431B4">
      <w:pPr>
        <w:pStyle w:val="1"/>
        <w:numPr>
          <w:ilvl w:val="0"/>
          <w:numId w:val="14"/>
        </w:numPr>
        <w:spacing w:after="240"/>
        <w:jc w:val="both"/>
        <w:rPr>
          <w:rFonts w:ascii="Book Antiqua" w:hAnsi="Book Antiqua"/>
          <w:b/>
        </w:rPr>
      </w:pPr>
      <w:r>
        <w:rPr>
          <w:rFonts w:ascii="Book Antiqua" w:hAnsi="Book Antiqua"/>
          <w:b/>
        </w:rPr>
        <w:t>Activities:</w:t>
      </w:r>
    </w:p>
    <w:p w14:paraId="339A0DF2" w14:textId="0F08FCBB" w:rsidR="00D431B4" w:rsidRDefault="00D431B4" w:rsidP="00D431B4">
      <w:pPr>
        <w:pStyle w:val="1"/>
        <w:numPr>
          <w:ilvl w:val="1"/>
          <w:numId w:val="14"/>
        </w:numPr>
        <w:spacing w:after="0"/>
        <w:jc w:val="both"/>
        <w:rPr>
          <w:rFonts w:ascii="Book Antiqua" w:hAnsi="Book Antiqua" w:cs="Times New Roman"/>
        </w:rPr>
      </w:pPr>
      <w:r>
        <w:rPr>
          <w:rFonts w:ascii="Book Antiqua" w:hAnsi="Book Antiqua" w:cs="Times New Roman"/>
        </w:rPr>
        <w:t xml:space="preserve">Facilitate the exchange of knowledge, information, </w:t>
      </w:r>
      <w:proofErr w:type="gramStart"/>
      <w:r>
        <w:rPr>
          <w:rFonts w:ascii="Book Antiqua" w:hAnsi="Book Antiqua" w:cs="Times New Roman"/>
        </w:rPr>
        <w:t>experiences</w:t>
      </w:r>
      <w:proofErr w:type="gramEnd"/>
      <w:r>
        <w:rPr>
          <w:rFonts w:ascii="Book Antiqua" w:hAnsi="Book Antiqua" w:cs="Times New Roman"/>
        </w:rPr>
        <w:t xml:space="preserve"> and good practices with regard to strengthen MPA management effectiveness </w:t>
      </w:r>
    </w:p>
    <w:p w14:paraId="3815DEFF" w14:textId="77777777" w:rsidR="00D431B4" w:rsidRDefault="00D431B4" w:rsidP="00D431B4">
      <w:pPr>
        <w:pStyle w:val="1"/>
        <w:numPr>
          <w:ilvl w:val="1"/>
          <w:numId w:val="14"/>
        </w:numPr>
        <w:spacing w:after="0"/>
        <w:jc w:val="both"/>
        <w:rPr>
          <w:rFonts w:ascii="Book Antiqua" w:hAnsi="Book Antiqua" w:cs="Times New Roman"/>
        </w:rPr>
      </w:pPr>
      <w:r>
        <w:rPr>
          <w:rFonts w:ascii="Book Antiqua" w:hAnsi="Book Antiqua" w:cs="Times New Roman"/>
        </w:rPr>
        <w:t>Facilitate cooperation on the protection of endangered and rare migratory marine species</w:t>
      </w:r>
    </w:p>
    <w:p w14:paraId="3A18AD8F" w14:textId="77777777" w:rsidR="00D431B4" w:rsidRDefault="00D431B4" w:rsidP="00D431B4">
      <w:pPr>
        <w:pStyle w:val="1"/>
        <w:numPr>
          <w:ilvl w:val="1"/>
          <w:numId w:val="14"/>
        </w:numPr>
        <w:spacing w:after="0"/>
        <w:jc w:val="both"/>
        <w:rPr>
          <w:rFonts w:ascii="Book Antiqua" w:hAnsi="Book Antiqua" w:cs="Times New Roman"/>
        </w:rPr>
      </w:pPr>
      <w:r>
        <w:rPr>
          <w:rFonts w:ascii="Book Antiqua" w:hAnsi="Book Antiqua" w:cs="Times New Roman"/>
        </w:rPr>
        <w:t xml:space="preserve">Cooperate with existing partnerships to maximize the synergy with various initiatives at national, (sub-)regional and global level in capacity-building and technical assistance in support of on-the-ground implementation priorities </w:t>
      </w:r>
    </w:p>
    <w:p w14:paraId="5FC72761" w14:textId="77777777" w:rsidR="00D431B4" w:rsidRDefault="00D431B4" w:rsidP="00D431B4">
      <w:pPr>
        <w:pStyle w:val="1"/>
        <w:numPr>
          <w:ilvl w:val="1"/>
          <w:numId w:val="14"/>
        </w:numPr>
        <w:spacing w:after="0"/>
        <w:jc w:val="both"/>
        <w:rPr>
          <w:rFonts w:ascii="Book Antiqua" w:hAnsi="Book Antiqua" w:cs="Times New Roman"/>
        </w:rPr>
      </w:pPr>
      <w:r>
        <w:rPr>
          <w:rFonts w:ascii="Book Antiqua" w:hAnsi="Book Antiqua" w:cs="Times New Roman"/>
        </w:rPr>
        <w:t xml:space="preserve">Enhance interactive communication among policy makers, scientific </w:t>
      </w:r>
      <w:proofErr w:type="gramStart"/>
      <w:r>
        <w:rPr>
          <w:rFonts w:ascii="Book Antiqua" w:hAnsi="Book Antiqua" w:cs="Times New Roman"/>
        </w:rPr>
        <w:t>community</w:t>
      </w:r>
      <w:proofErr w:type="gramEnd"/>
      <w:r>
        <w:rPr>
          <w:rFonts w:ascii="Book Antiqua" w:hAnsi="Book Antiqua" w:cs="Times New Roman"/>
        </w:rPr>
        <w:t xml:space="preserve"> and local stakeholders to promote ecosystem approach for MPA management. </w:t>
      </w:r>
    </w:p>
    <w:p w14:paraId="763EABAC" w14:textId="77777777" w:rsidR="00D431B4" w:rsidRPr="00B767C2" w:rsidRDefault="00D431B4" w:rsidP="00D431B4">
      <w:pPr>
        <w:pStyle w:val="1"/>
        <w:spacing w:after="0"/>
        <w:jc w:val="both"/>
        <w:rPr>
          <w:rFonts w:ascii="Book Antiqua" w:hAnsi="Book Antiqua"/>
          <w:b/>
        </w:rPr>
      </w:pPr>
    </w:p>
    <w:p w14:paraId="5D4CD3DA" w14:textId="77777777" w:rsidR="00D431B4" w:rsidRPr="004317E3" w:rsidRDefault="00D431B4" w:rsidP="00D431B4">
      <w:pPr>
        <w:pStyle w:val="1"/>
        <w:numPr>
          <w:ilvl w:val="1"/>
          <w:numId w:val="11"/>
        </w:numPr>
        <w:tabs>
          <w:tab w:val="left" w:pos="90"/>
        </w:tabs>
        <w:spacing w:after="0" w:line="240" w:lineRule="auto"/>
        <w:ind w:left="180" w:hanging="180"/>
        <w:jc w:val="both"/>
        <w:rPr>
          <w:rFonts w:ascii="Book Antiqua" w:hAnsi="Book Antiqua"/>
          <w:b/>
        </w:rPr>
      </w:pPr>
      <w:r w:rsidRPr="004317E3">
        <w:rPr>
          <w:rFonts w:ascii="Book Antiqua" w:hAnsi="Book Antiqua"/>
          <w:b/>
        </w:rPr>
        <w:t>Low Carbon Cities</w:t>
      </w:r>
    </w:p>
    <w:p w14:paraId="67684176" w14:textId="77777777" w:rsidR="00D431B4" w:rsidRDefault="00D431B4" w:rsidP="00D431B4">
      <w:pPr>
        <w:pStyle w:val="1"/>
        <w:tabs>
          <w:tab w:val="left" w:pos="90"/>
        </w:tabs>
        <w:spacing w:after="0" w:line="240" w:lineRule="auto"/>
        <w:ind w:left="180"/>
        <w:jc w:val="both"/>
        <w:rPr>
          <w:rFonts w:ascii="Book Antiqua" w:hAnsi="Book Antiqua"/>
          <w:b/>
          <w:sz w:val="24"/>
          <w:szCs w:val="24"/>
        </w:rPr>
      </w:pPr>
    </w:p>
    <w:p w14:paraId="25A441F5" w14:textId="77777777" w:rsidR="00D431B4" w:rsidRDefault="00D431B4" w:rsidP="00D431B4">
      <w:pPr>
        <w:pStyle w:val="1"/>
        <w:numPr>
          <w:ilvl w:val="0"/>
          <w:numId w:val="14"/>
        </w:numPr>
        <w:spacing w:after="0" w:line="240" w:lineRule="auto"/>
        <w:jc w:val="both"/>
        <w:rPr>
          <w:rFonts w:ascii="Book Antiqua" w:hAnsi="Book Antiqua"/>
          <w:b/>
        </w:rPr>
      </w:pPr>
      <w:r>
        <w:rPr>
          <w:rFonts w:ascii="Book Antiqua" w:hAnsi="Book Antiqua"/>
          <w:b/>
        </w:rPr>
        <w:t>Objectives:</w:t>
      </w:r>
    </w:p>
    <w:p w14:paraId="298311AC" w14:textId="38886681" w:rsidR="00D431B4" w:rsidRDefault="00D431B4" w:rsidP="00D431B4">
      <w:pPr>
        <w:pStyle w:val="1"/>
        <w:numPr>
          <w:ilvl w:val="1"/>
          <w:numId w:val="14"/>
        </w:numPr>
        <w:spacing w:after="0"/>
        <w:contextualSpacing w:val="0"/>
        <w:jc w:val="both"/>
        <w:rPr>
          <w:rFonts w:ascii="Book Antiqua" w:hAnsi="Book Antiqua" w:cs="Times New Roman"/>
        </w:rPr>
      </w:pPr>
      <w:r>
        <w:rPr>
          <w:rFonts w:ascii="Book Antiqua" w:hAnsi="Book Antiqua" w:cs="Times New Roman"/>
        </w:rPr>
        <w:t xml:space="preserve">By 2025, develop the NEA-LCCP to be a fully functional platform to support communications and cooperation among stakeholders, and promote awareness and capacity for developing and implementing low carbon city plans </w:t>
      </w:r>
    </w:p>
    <w:p w14:paraId="2449B9C5" w14:textId="77777777" w:rsidR="00D431B4" w:rsidRDefault="00D431B4" w:rsidP="00D431B4">
      <w:pPr>
        <w:pStyle w:val="1"/>
        <w:spacing w:after="0"/>
        <w:ind w:left="1440"/>
        <w:contextualSpacing w:val="0"/>
        <w:jc w:val="both"/>
        <w:rPr>
          <w:rFonts w:ascii="Book Antiqua" w:hAnsi="Book Antiqua" w:cs="Times New Roman"/>
        </w:rPr>
      </w:pPr>
    </w:p>
    <w:p w14:paraId="3B687C94" w14:textId="77777777" w:rsidR="00D431B4" w:rsidRDefault="00D431B4" w:rsidP="00D431B4">
      <w:pPr>
        <w:pStyle w:val="1"/>
        <w:numPr>
          <w:ilvl w:val="0"/>
          <w:numId w:val="14"/>
        </w:numPr>
        <w:spacing w:after="0" w:line="240" w:lineRule="auto"/>
        <w:jc w:val="both"/>
        <w:rPr>
          <w:rFonts w:ascii="Book Antiqua" w:hAnsi="Book Antiqua"/>
          <w:b/>
        </w:rPr>
      </w:pPr>
      <w:r>
        <w:rPr>
          <w:rFonts w:ascii="Book Antiqua" w:hAnsi="Book Antiqua"/>
          <w:b/>
        </w:rPr>
        <w:t xml:space="preserve">Activities: </w:t>
      </w:r>
    </w:p>
    <w:p w14:paraId="32801494" w14:textId="77777777" w:rsidR="00D431B4" w:rsidRDefault="00D431B4" w:rsidP="00D431B4">
      <w:pPr>
        <w:pStyle w:val="1"/>
        <w:numPr>
          <w:ilvl w:val="1"/>
          <w:numId w:val="15"/>
        </w:numPr>
        <w:spacing w:after="0"/>
        <w:jc w:val="both"/>
        <w:rPr>
          <w:rFonts w:ascii="Book Antiqua" w:hAnsi="Book Antiqua" w:cs="Times New Roman"/>
        </w:rPr>
      </w:pPr>
      <w:r>
        <w:rPr>
          <w:rFonts w:ascii="Book Antiqua" w:hAnsi="Book Antiqua" w:cs="Times New Roman"/>
        </w:rPr>
        <w:t xml:space="preserve">Facilitate sharing information and experience in policies and measures on low carbon city policies </w:t>
      </w:r>
    </w:p>
    <w:p w14:paraId="76A2514C" w14:textId="77777777" w:rsidR="00D431B4" w:rsidRDefault="00D431B4" w:rsidP="00D431B4">
      <w:pPr>
        <w:pStyle w:val="1"/>
        <w:numPr>
          <w:ilvl w:val="1"/>
          <w:numId w:val="15"/>
        </w:numPr>
        <w:spacing w:after="0"/>
        <w:jc w:val="both"/>
        <w:rPr>
          <w:rFonts w:ascii="Book Antiqua" w:hAnsi="Book Antiqua" w:cs="Times New Roman"/>
        </w:rPr>
      </w:pPr>
      <w:r>
        <w:rPr>
          <w:rFonts w:ascii="Book Antiqua" w:hAnsi="Book Antiqua" w:cs="Times New Roman"/>
        </w:rPr>
        <w:t>Enhance mutual technical assistance for strengthening capacity to effectively implement low carbon city approach</w:t>
      </w:r>
    </w:p>
    <w:p w14:paraId="4C15C127" w14:textId="77777777" w:rsidR="00D431B4" w:rsidRDefault="00D431B4" w:rsidP="00D431B4">
      <w:pPr>
        <w:pStyle w:val="1"/>
        <w:numPr>
          <w:ilvl w:val="1"/>
          <w:numId w:val="15"/>
        </w:numPr>
        <w:spacing w:after="0"/>
        <w:jc w:val="both"/>
        <w:rPr>
          <w:rFonts w:ascii="Book Antiqua" w:hAnsi="Book Antiqua" w:cs="Times New Roman"/>
        </w:rPr>
      </w:pPr>
      <w:r>
        <w:rPr>
          <w:rFonts w:ascii="Book Antiqua" w:hAnsi="Book Antiqua" w:cs="Times New Roman"/>
        </w:rPr>
        <w:t xml:space="preserve">Provide recommendations and technical support through linking, </w:t>
      </w:r>
      <w:proofErr w:type="gramStart"/>
      <w:r>
        <w:rPr>
          <w:rFonts w:ascii="Book Antiqua" w:hAnsi="Book Antiqua" w:cs="Times New Roman"/>
        </w:rPr>
        <w:t>mobilizing</w:t>
      </w:r>
      <w:proofErr w:type="gramEnd"/>
      <w:r>
        <w:rPr>
          <w:rFonts w:ascii="Book Antiqua" w:hAnsi="Book Antiqua" w:cs="Times New Roman"/>
        </w:rPr>
        <w:t xml:space="preserve"> and connecting expert networks </w:t>
      </w:r>
    </w:p>
    <w:p w14:paraId="01D85CC9" w14:textId="58EE823E" w:rsidR="00D431B4" w:rsidRPr="006B3068" w:rsidRDefault="00D431B4" w:rsidP="006349DB">
      <w:pPr>
        <w:pStyle w:val="1"/>
        <w:numPr>
          <w:ilvl w:val="1"/>
          <w:numId w:val="15"/>
        </w:numPr>
        <w:spacing w:after="240"/>
        <w:jc w:val="both"/>
        <w:rPr>
          <w:rFonts w:ascii="Book Antiqua" w:hAnsi="Book Antiqua"/>
          <w:b/>
        </w:rPr>
      </w:pPr>
      <w:r>
        <w:rPr>
          <w:rFonts w:ascii="Book Antiqua" w:hAnsi="Book Antiqua" w:cs="Times New Roman"/>
        </w:rPr>
        <w:t xml:space="preserve">Conduct analytical studies to identify gaps, generate practical knowledge and address specific conditions and capacities for LCC development </w:t>
      </w:r>
    </w:p>
    <w:p w14:paraId="482EAFA9" w14:textId="64F4BD9E" w:rsidR="00272158" w:rsidRDefault="00272158" w:rsidP="00D431B4">
      <w:pPr>
        <w:pStyle w:val="1"/>
        <w:spacing w:after="240"/>
        <w:ind w:left="1440"/>
        <w:jc w:val="both"/>
        <w:rPr>
          <w:rFonts w:ascii="Book Antiqua" w:hAnsi="Book Antiqua"/>
          <w:b/>
        </w:rPr>
      </w:pPr>
    </w:p>
    <w:p w14:paraId="1C1B41C6" w14:textId="426D243D" w:rsidR="006349DB" w:rsidRDefault="006349DB" w:rsidP="00D431B4">
      <w:pPr>
        <w:pStyle w:val="1"/>
        <w:spacing w:after="240"/>
        <w:ind w:left="1440"/>
        <w:jc w:val="both"/>
        <w:rPr>
          <w:rFonts w:ascii="Book Antiqua" w:hAnsi="Book Antiqua"/>
          <w:b/>
        </w:rPr>
      </w:pPr>
    </w:p>
    <w:p w14:paraId="701417FE" w14:textId="12806591" w:rsidR="006349DB" w:rsidRDefault="006349DB" w:rsidP="00D431B4">
      <w:pPr>
        <w:pStyle w:val="1"/>
        <w:spacing w:after="240"/>
        <w:ind w:left="1440"/>
        <w:jc w:val="both"/>
        <w:rPr>
          <w:rFonts w:ascii="Book Antiqua" w:hAnsi="Book Antiqua"/>
          <w:b/>
        </w:rPr>
      </w:pPr>
    </w:p>
    <w:p w14:paraId="62C521FF" w14:textId="42D63711" w:rsidR="006349DB" w:rsidRDefault="006349DB" w:rsidP="00D431B4">
      <w:pPr>
        <w:pStyle w:val="1"/>
        <w:spacing w:after="240"/>
        <w:ind w:left="1440"/>
        <w:jc w:val="both"/>
        <w:rPr>
          <w:rFonts w:ascii="Book Antiqua" w:hAnsi="Book Antiqua"/>
          <w:b/>
        </w:rPr>
      </w:pPr>
    </w:p>
    <w:p w14:paraId="2F0B6690" w14:textId="3F8C6FAF" w:rsidR="006349DB" w:rsidRDefault="006349DB" w:rsidP="00D431B4">
      <w:pPr>
        <w:pStyle w:val="1"/>
        <w:spacing w:after="240"/>
        <w:ind w:left="1440"/>
        <w:jc w:val="both"/>
        <w:rPr>
          <w:rFonts w:ascii="Book Antiqua" w:hAnsi="Book Antiqua"/>
          <w:b/>
        </w:rPr>
      </w:pPr>
    </w:p>
    <w:p w14:paraId="09A56046" w14:textId="77777777" w:rsidR="006349DB" w:rsidRDefault="006349DB" w:rsidP="00D431B4">
      <w:pPr>
        <w:pStyle w:val="1"/>
        <w:spacing w:after="240"/>
        <w:ind w:left="1440"/>
        <w:jc w:val="both"/>
        <w:rPr>
          <w:rFonts w:ascii="Book Antiqua" w:hAnsi="Book Antiqua"/>
          <w:b/>
        </w:rPr>
      </w:pPr>
    </w:p>
    <w:p w14:paraId="646C2937" w14:textId="77777777" w:rsidR="00D431B4" w:rsidRPr="004317E3" w:rsidRDefault="00D431B4" w:rsidP="00D431B4">
      <w:pPr>
        <w:pStyle w:val="1"/>
        <w:numPr>
          <w:ilvl w:val="1"/>
          <w:numId w:val="11"/>
        </w:numPr>
        <w:tabs>
          <w:tab w:val="left" w:pos="90"/>
        </w:tabs>
        <w:spacing w:after="0" w:line="240" w:lineRule="auto"/>
        <w:ind w:left="180" w:hanging="180"/>
        <w:jc w:val="both"/>
        <w:rPr>
          <w:rFonts w:ascii="Book Antiqua" w:hAnsi="Book Antiqua" w:cs="Times New Roman"/>
        </w:rPr>
      </w:pPr>
      <w:bookmarkStart w:id="7" w:name="_Hlk47953612"/>
      <w:r w:rsidRPr="004317E3">
        <w:rPr>
          <w:rFonts w:ascii="Book Antiqua" w:hAnsi="Book Antiqua"/>
          <w:b/>
        </w:rPr>
        <w:lastRenderedPageBreak/>
        <w:t xml:space="preserve">Desertification and Land Degradation </w:t>
      </w:r>
      <w:bookmarkEnd w:id="7"/>
    </w:p>
    <w:p w14:paraId="2476048B" w14:textId="77777777" w:rsidR="00D431B4" w:rsidRPr="004317E3" w:rsidRDefault="00D431B4" w:rsidP="00D431B4">
      <w:pPr>
        <w:pStyle w:val="1"/>
        <w:spacing w:after="0"/>
        <w:ind w:left="1440"/>
        <w:contextualSpacing w:val="0"/>
        <w:jc w:val="both"/>
        <w:rPr>
          <w:rFonts w:ascii="Book Antiqua" w:hAnsi="Book Antiqua" w:cs="Times New Roman"/>
        </w:rPr>
      </w:pPr>
    </w:p>
    <w:p w14:paraId="5E98FFA4" w14:textId="77777777" w:rsidR="00D431B4" w:rsidRDefault="00D431B4" w:rsidP="00D431B4">
      <w:pPr>
        <w:pStyle w:val="1"/>
        <w:numPr>
          <w:ilvl w:val="0"/>
          <w:numId w:val="14"/>
        </w:numPr>
        <w:spacing w:after="0" w:line="240" w:lineRule="auto"/>
        <w:jc w:val="both"/>
        <w:rPr>
          <w:rFonts w:ascii="Book Antiqua" w:hAnsi="Book Antiqua"/>
          <w:b/>
        </w:rPr>
      </w:pPr>
      <w:r>
        <w:rPr>
          <w:rFonts w:ascii="Book Antiqua" w:hAnsi="Book Antiqua"/>
          <w:b/>
        </w:rPr>
        <w:t>Objectives:</w:t>
      </w:r>
    </w:p>
    <w:p w14:paraId="2E942ACB" w14:textId="77777777" w:rsidR="00D431B4" w:rsidRDefault="00D431B4" w:rsidP="00D431B4">
      <w:pPr>
        <w:pStyle w:val="1"/>
        <w:numPr>
          <w:ilvl w:val="1"/>
          <w:numId w:val="14"/>
        </w:numPr>
        <w:spacing w:after="0"/>
        <w:contextualSpacing w:val="0"/>
        <w:jc w:val="both"/>
        <w:rPr>
          <w:rFonts w:ascii="Book Antiqua" w:hAnsi="Book Antiqua" w:cs="Times New Roman"/>
        </w:rPr>
      </w:pPr>
      <w:r>
        <w:rPr>
          <w:rFonts w:ascii="Book Antiqua" w:hAnsi="Book Antiqua" w:cs="Times New Roman"/>
        </w:rPr>
        <w:t xml:space="preserve">By 2025, implement pilot studies and raise awareness on interlinkages between climate change mitigation and desertification and land degradation (DLD) to develop an integrated approach </w:t>
      </w:r>
    </w:p>
    <w:p w14:paraId="053A7D06" w14:textId="77777777" w:rsidR="00D431B4" w:rsidRDefault="00D431B4" w:rsidP="00D431B4">
      <w:pPr>
        <w:pStyle w:val="1"/>
        <w:spacing w:after="0"/>
        <w:ind w:left="1440"/>
        <w:contextualSpacing w:val="0"/>
        <w:jc w:val="both"/>
        <w:rPr>
          <w:rFonts w:ascii="Book Antiqua" w:hAnsi="Book Antiqua" w:cs="Times New Roman"/>
          <w:i/>
          <w:iCs/>
        </w:rPr>
      </w:pPr>
    </w:p>
    <w:p w14:paraId="2FDB0966" w14:textId="77777777" w:rsidR="00D431B4" w:rsidRDefault="00D431B4" w:rsidP="00D431B4">
      <w:pPr>
        <w:pStyle w:val="1"/>
        <w:numPr>
          <w:ilvl w:val="0"/>
          <w:numId w:val="14"/>
        </w:numPr>
        <w:spacing w:after="0" w:line="240" w:lineRule="auto"/>
        <w:jc w:val="both"/>
        <w:rPr>
          <w:rFonts w:ascii="Book Antiqua" w:hAnsi="Book Antiqua"/>
          <w:b/>
        </w:rPr>
      </w:pPr>
      <w:r>
        <w:rPr>
          <w:rFonts w:ascii="Book Antiqua" w:hAnsi="Book Antiqua"/>
          <w:b/>
        </w:rPr>
        <w:t xml:space="preserve">Activities: </w:t>
      </w:r>
    </w:p>
    <w:p w14:paraId="01046D11" w14:textId="77777777" w:rsidR="00D431B4" w:rsidRDefault="00D431B4" w:rsidP="00D431B4">
      <w:pPr>
        <w:pStyle w:val="1"/>
        <w:numPr>
          <w:ilvl w:val="1"/>
          <w:numId w:val="15"/>
        </w:numPr>
        <w:spacing w:after="0"/>
        <w:jc w:val="both"/>
        <w:rPr>
          <w:rFonts w:ascii="Book Antiqua" w:hAnsi="Book Antiqua" w:cs="Times New Roman"/>
        </w:rPr>
      </w:pPr>
      <w:r>
        <w:rPr>
          <w:rFonts w:ascii="Book Antiqua" w:hAnsi="Book Antiqua" w:cs="Times New Roman"/>
        </w:rPr>
        <w:t xml:space="preserve">Conduct a stock-taking study on the interlinkage of climate change mitigation and DLD such as soil organic carbon and management of grassland and forest </w:t>
      </w:r>
      <w:r>
        <w:rPr>
          <w:rFonts w:ascii="Book Antiqua" w:eastAsia="SimSun" w:hAnsi="Book Antiqua" w:cs="Times New Roman" w:hint="eastAsia"/>
          <w:lang w:eastAsia="zh-CN"/>
        </w:rPr>
        <w:t xml:space="preserve">participated by </w:t>
      </w:r>
      <w:r>
        <w:rPr>
          <w:rFonts w:ascii="Book Antiqua" w:eastAsia="SimSun" w:hAnsi="Book Antiqua" w:cs="Times New Roman"/>
          <w:lang w:eastAsia="zh-CN"/>
        </w:rPr>
        <w:t xml:space="preserve">national </w:t>
      </w:r>
      <w:r>
        <w:rPr>
          <w:rFonts w:ascii="Book Antiqua" w:eastAsia="SimSun" w:hAnsi="Book Antiqua" w:cs="Times New Roman" w:hint="eastAsia"/>
          <w:lang w:eastAsia="zh-CN"/>
        </w:rPr>
        <w:t xml:space="preserve">experts </w:t>
      </w:r>
    </w:p>
    <w:p w14:paraId="21D8E4F1" w14:textId="77777777" w:rsidR="00D431B4" w:rsidRDefault="00D431B4" w:rsidP="00D431B4">
      <w:pPr>
        <w:pStyle w:val="1"/>
        <w:numPr>
          <w:ilvl w:val="1"/>
          <w:numId w:val="15"/>
        </w:numPr>
        <w:spacing w:after="0"/>
        <w:jc w:val="both"/>
        <w:rPr>
          <w:rFonts w:ascii="Book Antiqua" w:hAnsi="Book Antiqua" w:cs="Times New Roman"/>
        </w:rPr>
      </w:pPr>
      <w:r>
        <w:rPr>
          <w:rFonts w:ascii="Book Antiqua" w:hAnsi="Book Antiqua" w:cs="Times New Roman"/>
        </w:rPr>
        <w:t xml:space="preserve">Develop a </w:t>
      </w:r>
      <w:proofErr w:type="spellStart"/>
      <w:r>
        <w:rPr>
          <w:rFonts w:ascii="Book Antiqua" w:hAnsi="Book Antiqua" w:cs="Times New Roman"/>
        </w:rPr>
        <w:t>subregional</w:t>
      </w:r>
      <w:proofErr w:type="spellEnd"/>
      <w:r>
        <w:rPr>
          <w:rFonts w:ascii="Book Antiqua" w:hAnsi="Book Antiqua" w:cs="Times New Roman"/>
        </w:rPr>
        <w:t xml:space="preserve"> approach</w:t>
      </w:r>
      <w:r>
        <w:rPr>
          <w:rFonts w:ascii="Book Antiqua" w:eastAsia="SimSun" w:hAnsi="Book Antiqua" w:cs="Times New Roman" w:hint="eastAsia"/>
          <w:lang w:eastAsia="zh-CN"/>
        </w:rPr>
        <w:t xml:space="preserve"> and organize activities</w:t>
      </w:r>
      <w:r>
        <w:rPr>
          <w:rFonts w:ascii="Book Antiqua" w:hAnsi="Book Antiqua" w:cs="Times New Roman"/>
        </w:rPr>
        <w:t xml:space="preserve"> on nature-based solutions for addressing climate change and DLD </w:t>
      </w:r>
    </w:p>
    <w:p w14:paraId="18D3BB22" w14:textId="77777777" w:rsidR="00D431B4" w:rsidRDefault="00D431B4" w:rsidP="00D431B4">
      <w:pPr>
        <w:pStyle w:val="1"/>
        <w:numPr>
          <w:ilvl w:val="1"/>
          <w:numId w:val="15"/>
        </w:numPr>
        <w:spacing w:after="0"/>
        <w:jc w:val="both"/>
        <w:rPr>
          <w:rFonts w:ascii="Book Antiqua" w:hAnsi="Book Antiqua" w:cs="Times New Roman"/>
        </w:rPr>
      </w:pPr>
      <w:r>
        <w:rPr>
          <w:rFonts w:ascii="Book Antiqua" w:hAnsi="Book Antiqua" w:cs="Times New Roman"/>
        </w:rPr>
        <w:t xml:space="preserve">Hold stakeholder dialogues on the interlinkages and nature-based solutions </w:t>
      </w:r>
    </w:p>
    <w:p w14:paraId="0DBED492" w14:textId="77777777" w:rsidR="00D431B4" w:rsidRDefault="00D431B4" w:rsidP="00D431B4">
      <w:pPr>
        <w:pStyle w:val="1"/>
        <w:spacing w:after="0"/>
        <w:ind w:left="1440"/>
        <w:jc w:val="both"/>
        <w:rPr>
          <w:rFonts w:ascii="Book Antiqua" w:hAnsi="Book Antiqua" w:cs="Times New Roman"/>
        </w:rPr>
      </w:pPr>
    </w:p>
    <w:p w14:paraId="6CED8C43" w14:textId="77777777" w:rsidR="00D431B4" w:rsidRDefault="00D431B4" w:rsidP="00D431B4">
      <w:pPr>
        <w:pStyle w:val="1"/>
        <w:numPr>
          <w:ilvl w:val="1"/>
          <w:numId w:val="11"/>
        </w:numPr>
        <w:tabs>
          <w:tab w:val="left" w:pos="90"/>
        </w:tabs>
        <w:spacing w:after="240" w:line="240" w:lineRule="auto"/>
        <w:ind w:left="180" w:hanging="180"/>
        <w:jc w:val="both"/>
        <w:rPr>
          <w:rFonts w:ascii="Book Antiqua" w:hAnsi="Book Antiqua"/>
          <w:b/>
          <w:sz w:val="24"/>
          <w:szCs w:val="24"/>
        </w:rPr>
      </w:pPr>
      <w:r>
        <w:rPr>
          <w:rFonts w:ascii="Book Antiqua" w:hAnsi="Book Antiqua"/>
          <w:b/>
          <w:sz w:val="24"/>
          <w:szCs w:val="24"/>
        </w:rPr>
        <w:t>Other emerging issues</w:t>
      </w:r>
    </w:p>
    <w:p w14:paraId="702AD6C4" w14:textId="77777777" w:rsidR="00D431B4" w:rsidRDefault="00D431B4" w:rsidP="00D431B4">
      <w:pPr>
        <w:pStyle w:val="1"/>
        <w:tabs>
          <w:tab w:val="left" w:pos="90"/>
        </w:tabs>
        <w:spacing w:after="240" w:line="240" w:lineRule="auto"/>
        <w:ind w:left="180"/>
        <w:jc w:val="both"/>
        <w:rPr>
          <w:rFonts w:ascii="Book Antiqua" w:hAnsi="Book Antiqua"/>
          <w:b/>
          <w:sz w:val="24"/>
          <w:szCs w:val="24"/>
        </w:rPr>
      </w:pPr>
    </w:p>
    <w:p w14:paraId="367E1F81" w14:textId="77777777" w:rsidR="00D431B4" w:rsidRDefault="00D431B4" w:rsidP="00D431B4">
      <w:pPr>
        <w:pStyle w:val="1"/>
        <w:numPr>
          <w:ilvl w:val="0"/>
          <w:numId w:val="14"/>
        </w:numPr>
        <w:spacing w:after="240" w:line="240" w:lineRule="auto"/>
        <w:jc w:val="both"/>
        <w:rPr>
          <w:rFonts w:ascii="Book Antiqua" w:hAnsi="Book Antiqua"/>
          <w:b/>
        </w:rPr>
      </w:pPr>
      <w:r>
        <w:rPr>
          <w:rFonts w:ascii="Book Antiqua" w:hAnsi="Book Antiqua"/>
          <w:b/>
        </w:rPr>
        <w:t>Objectives:</w:t>
      </w:r>
    </w:p>
    <w:p w14:paraId="1F8B6CE9" w14:textId="77777777" w:rsidR="00D431B4" w:rsidRDefault="00D431B4" w:rsidP="00D431B4">
      <w:pPr>
        <w:pStyle w:val="1"/>
        <w:numPr>
          <w:ilvl w:val="1"/>
          <w:numId w:val="14"/>
        </w:numPr>
        <w:spacing w:after="0"/>
        <w:contextualSpacing w:val="0"/>
        <w:jc w:val="both"/>
        <w:rPr>
          <w:rFonts w:ascii="Book Antiqua" w:hAnsi="Book Antiqua" w:cs="Times New Roman"/>
        </w:rPr>
      </w:pPr>
      <w:r>
        <w:rPr>
          <w:rFonts w:ascii="Book Antiqua" w:hAnsi="Book Antiqua" w:cs="Times New Roman"/>
        </w:rPr>
        <w:t xml:space="preserve">Build mutual understanding among member States on emerging issues of </w:t>
      </w:r>
      <w:proofErr w:type="spellStart"/>
      <w:r>
        <w:rPr>
          <w:rFonts w:ascii="Book Antiqua" w:hAnsi="Book Antiqua" w:cs="Times New Roman"/>
        </w:rPr>
        <w:t>subregional</w:t>
      </w:r>
      <w:proofErr w:type="spellEnd"/>
      <w:r>
        <w:rPr>
          <w:rFonts w:ascii="Book Antiqua" w:hAnsi="Book Antiqua" w:cs="Times New Roman"/>
        </w:rPr>
        <w:t xml:space="preserve"> environmental cooperation and develop the plan of joint action. </w:t>
      </w:r>
    </w:p>
    <w:p w14:paraId="42DDE057" w14:textId="77777777" w:rsidR="00D431B4" w:rsidRDefault="00D431B4" w:rsidP="00D431B4">
      <w:pPr>
        <w:pStyle w:val="1"/>
        <w:spacing w:after="240"/>
        <w:jc w:val="both"/>
        <w:rPr>
          <w:rFonts w:ascii="Book Antiqua" w:hAnsi="Book Antiqua"/>
          <w:b/>
        </w:rPr>
      </w:pPr>
    </w:p>
    <w:p w14:paraId="54F43E33" w14:textId="77777777" w:rsidR="00D431B4" w:rsidRDefault="00D431B4" w:rsidP="00D431B4">
      <w:pPr>
        <w:pStyle w:val="1"/>
        <w:numPr>
          <w:ilvl w:val="0"/>
          <w:numId w:val="14"/>
        </w:numPr>
        <w:spacing w:after="240"/>
        <w:jc w:val="both"/>
        <w:rPr>
          <w:rFonts w:ascii="Book Antiqua" w:hAnsi="Book Antiqua"/>
          <w:b/>
        </w:rPr>
      </w:pPr>
      <w:r>
        <w:rPr>
          <w:rFonts w:ascii="Book Antiqua" w:hAnsi="Book Antiqua"/>
          <w:b/>
        </w:rPr>
        <w:t xml:space="preserve">Activities: </w:t>
      </w:r>
    </w:p>
    <w:p w14:paraId="39030724" w14:textId="77777777" w:rsidR="00D431B4" w:rsidRDefault="00D431B4" w:rsidP="00D431B4">
      <w:pPr>
        <w:pStyle w:val="1"/>
        <w:numPr>
          <w:ilvl w:val="1"/>
          <w:numId w:val="14"/>
        </w:numPr>
        <w:spacing w:after="0"/>
        <w:contextualSpacing w:val="0"/>
        <w:jc w:val="both"/>
        <w:rPr>
          <w:rFonts w:ascii="Book Antiqua" w:hAnsi="Book Antiqua" w:cs="Times New Roman"/>
        </w:rPr>
      </w:pPr>
      <w:r>
        <w:rPr>
          <w:rFonts w:ascii="Book Antiqua" w:hAnsi="Book Antiqua" w:cs="Times New Roman"/>
        </w:rPr>
        <w:t xml:space="preserve">Facilitate dialogue among member States on emerging issues upon the request from member States, </w:t>
      </w:r>
      <w:proofErr w:type="gramStart"/>
      <w:r>
        <w:rPr>
          <w:rFonts w:ascii="Book Antiqua" w:hAnsi="Book Antiqua" w:cs="Times New Roman"/>
        </w:rPr>
        <w:t>Secretariat</w:t>
      </w:r>
      <w:proofErr w:type="gramEnd"/>
      <w:r>
        <w:rPr>
          <w:rFonts w:ascii="Book Antiqua" w:hAnsi="Book Antiqua" w:cs="Times New Roman"/>
        </w:rPr>
        <w:t xml:space="preserve"> or other relevant stakeholders </w:t>
      </w:r>
    </w:p>
    <w:p w14:paraId="4435B709" w14:textId="4358825F" w:rsidR="00D431B4" w:rsidRPr="004317E3" w:rsidRDefault="00D431B4" w:rsidP="00D431B4">
      <w:pPr>
        <w:pStyle w:val="1"/>
        <w:numPr>
          <w:ilvl w:val="1"/>
          <w:numId w:val="14"/>
        </w:numPr>
        <w:spacing w:after="0"/>
        <w:contextualSpacing w:val="0"/>
        <w:jc w:val="both"/>
        <w:rPr>
          <w:rFonts w:ascii="Book Antiqua" w:hAnsi="Book Antiqua"/>
          <w:b/>
        </w:rPr>
      </w:pPr>
      <w:r>
        <w:rPr>
          <w:rFonts w:ascii="Book Antiqua" w:hAnsi="Book Antiqua" w:cs="Times New Roman"/>
        </w:rPr>
        <w:t>Conduct a study on the identified issues, if required, to support policy dialogue and joint action</w:t>
      </w:r>
    </w:p>
    <w:p w14:paraId="358E5D3D" w14:textId="77777777" w:rsidR="004317E3" w:rsidRDefault="004317E3" w:rsidP="004317E3">
      <w:pPr>
        <w:pStyle w:val="1"/>
        <w:spacing w:after="0"/>
        <w:ind w:left="1440"/>
        <w:contextualSpacing w:val="0"/>
        <w:jc w:val="both"/>
        <w:rPr>
          <w:rFonts w:ascii="Book Antiqua" w:hAnsi="Book Antiqua"/>
          <w:b/>
        </w:rPr>
      </w:pPr>
    </w:p>
    <w:p w14:paraId="5BBBAEA2" w14:textId="77777777" w:rsidR="00D431B4" w:rsidRPr="00D9682B" w:rsidRDefault="00D431B4" w:rsidP="00D431B4">
      <w:pPr>
        <w:pStyle w:val="1"/>
        <w:numPr>
          <w:ilvl w:val="0"/>
          <w:numId w:val="11"/>
        </w:numPr>
        <w:spacing w:after="240"/>
        <w:ind w:left="630" w:hanging="630"/>
        <w:rPr>
          <w:rFonts w:ascii="Book Antiqua" w:hAnsi="Book Antiqua"/>
          <w:b/>
          <w:color w:val="0070C0"/>
          <w:sz w:val="24"/>
          <w:szCs w:val="24"/>
        </w:rPr>
      </w:pPr>
      <w:r w:rsidRPr="00D9682B">
        <w:rPr>
          <w:rFonts w:ascii="Book Antiqua" w:hAnsi="Book Antiqua"/>
          <w:b/>
          <w:color w:val="0070C0"/>
          <w:sz w:val="24"/>
          <w:szCs w:val="24"/>
        </w:rPr>
        <w:t xml:space="preserve">Institutional Arrangement </w:t>
      </w:r>
    </w:p>
    <w:p w14:paraId="4A2758F0" w14:textId="77777777" w:rsidR="00D431B4" w:rsidRDefault="00D431B4" w:rsidP="00D431B4">
      <w:pPr>
        <w:pStyle w:val="1"/>
        <w:spacing w:after="240"/>
        <w:ind w:left="630"/>
        <w:rPr>
          <w:rFonts w:ascii="Book Antiqua" w:hAnsi="Book Antiqua"/>
          <w:b/>
          <w:color w:val="0070C0"/>
          <w:sz w:val="28"/>
          <w:szCs w:val="28"/>
        </w:rPr>
      </w:pPr>
    </w:p>
    <w:p w14:paraId="628BD217" w14:textId="77777777" w:rsidR="00D431B4" w:rsidRPr="00FE44BA" w:rsidRDefault="00D431B4" w:rsidP="00D431B4">
      <w:pPr>
        <w:pStyle w:val="1"/>
        <w:numPr>
          <w:ilvl w:val="1"/>
          <w:numId w:val="11"/>
        </w:numPr>
        <w:tabs>
          <w:tab w:val="left" w:pos="90"/>
        </w:tabs>
        <w:spacing w:after="240" w:line="240" w:lineRule="auto"/>
        <w:ind w:left="180" w:hanging="180"/>
        <w:jc w:val="both"/>
        <w:rPr>
          <w:rFonts w:ascii="Book Antiqua" w:hAnsi="Book Antiqua"/>
          <w:b/>
        </w:rPr>
      </w:pPr>
      <w:r w:rsidRPr="00FE44BA">
        <w:rPr>
          <w:rFonts w:ascii="Book Antiqua" w:hAnsi="Book Antiqua"/>
          <w:b/>
        </w:rPr>
        <w:t>Overall Direction</w:t>
      </w:r>
    </w:p>
    <w:p w14:paraId="2907B391" w14:textId="77777777" w:rsidR="00D431B4" w:rsidRDefault="00D431B4" w:rsidP="00D431B4">
      <w:pPr>
        <w:pStyle w:val="1"/>
        <w:tabs>
          <w:tab w:val="left" w:pos="90"/>
        </w:tabs>
        <w:spacing w:after="240" w:line="240" w:lineRule="auto"/>
        <w:ind w:left="180"/>
        <w:jc w:val="both"/>
        <w:rPr>
          <w:rFonts w:ascii="Book Antiqua" w:hAnsi="Book Antiqua"/>
          <w:b/>
        </w:rPr>
      </w:pPr>
    </w:p>
    <w:p w14:paraId="27809B24" w14:textId="77777777" w:rsidR="00D431B4" w:rsidRDefault="00D431B4" w:rsidP="00D431B4">
      <w:pPr>
        <w:pStyle w:val="1"/>
        <w:numPr>
          <w:ilvl w:val="0"/>
          <w:numId w:val="16"/>
        </w:numPr>
        <w:spacing w:after="240" w:line="240" w:lineRule="auto"/>
        <w:jc w:val="both"/>
        <w:rPr>
          <w:rFonts w:ascii="Book Antiqua" w:hAnsi="Book Antiqua"/>
        </w:rPr>
      </w:pPr>
      <w:r>
        <w:rPr>
          <w:rFonts w:ascii="Book Antiqua" w:hAnsi="Book Antiqua"/>
        </w:rPr>
        <w:t xml:space="preserve">Increase ownership of member States by encouraging participation of national institutions and other stakeholders in </w:t>
      </w:r>
      <w:proofErr w:type="spellStart"/>
      <w:r>
        <w:rPr>
          <w:rFonts w:ascii="Book Antiqua" w:hAnsi="Book Antiqua"/>
        </w:rPr>
        <w:t>programme</w:t>
      </w:r>
      <w:proofErr w:type="spellEnd"/>
      <w:r>
        <w:rPr>
          <w:rFonts w:ascii="Book Antiqua" w:hAnsi="Book Antiqua"/>
        </w:rPr>
        <w:t xml:space="preserve"> development and implementation</w:t>
      </w:r>
    </w:p>
    <w:p w14:paraId="0BCC8946" w14:textId="77777777" w:rsidR="00D431B4" w:rsidRDefault="00D431B4" w:rsidP="00D431B4">
      <w:pPr>
        <w:pStyle w:val="1"/>
        <w:numPr>
          <w:ilvl w:val="0"/>
          <w:numId w:val="16"/>
        </w:numPr>
        <w:spacing w:after="240"/>
        <w:jc w:val="both"/>
        <w:rPr>
          <w:rFonts w:ascii="Book Antiqua" w:hAnsi="Book Antiqua"/>
        </w:rPr>
      </w:pPr>
      <w:r>
        <w:rPr>
          <w:rFonts w:ascii="Book Antiqua" w:hAnsi="Book Antiqua"/>
        </w:rPr>
        <w:t xml:space="preserve">Strengthen linkages and coordination with other relevant initiatives of member States for enhanced effectiveness </w:t>
      </w:r>
    </w:p>
    <w:p w14:paraId="627DD42A" w14:textId="5798D1F6" w:rsidR="00FE44BA" w:rsidRDefault="00D431B4" w:rsidP="00FE44BA">
      <w:pPr>
        <w:pStyle w:val="1"/>
        <w:spacing w:after="240"/>
        <w:ind w:left="1080"/>
        <w:jc w:val="both"/>
        <w:rPr>
          <w:rFonts w:ascii="Book Antiqua" w:hAnsi="Book Antiqua"/>
        </w:rPr>
      </w:pPr>
      <w:r>
        <w:rPr>
          <w:rFonts w:ascii="Book Antiqua" w:hAnsi="Book Antiqua"/>
        </w:rPr>
        <w:t xml:space="preserve">Enhance institutional, </w:t>
      </w:r>
      <w:proofErr w:type="gramStart"/>
      <w:r>
        <w:rPr>
          <w:rFonts w:ascii="Book Antiqua" w:hAnsi="Book Antiqua"/>
        </w:rPr>
        <w:t>technical</w:t>
      </w:r>
      <w:proofErr w:type="gramEnd"/>
      <w:r>
        <w:rPr>
          <w:rFonts w:ascii="Book Antiqua" w:hAnsi="Book Antiqua"/>
        </w:rPr>
        <w:t xml:space="preserve"> and financial contributions of member States to NEASPEC </w:t>
      </w:r>
    </w:p>
    <w:p w14:paraId="09AD3EAA" w14:textId="0DF3D96A" w:rsidR="00FE44BA" w:rsidRDefault="00FE44BA">
      <w:pPr>
        <w:rPr>
          <w:rFonts w:ascii="Book Antiqua" w:hAnsi="Book Antiqua"/>
        </w:rPr>
      </w:pPr>
      <w:r>
        <w:rPr>
          <w:rFonts w:ascii="Book Antiqua" w:hAnsi="Book Antiqua"/>
        </w:rPr>
        <w:br w:type="page"/>
      </w:r>
    </w:p>
    <w:p w14:paraId="153A647E" w14:textId="55BAF143" w:rsidR="00D431B4" w:rsidRPr="00FE44BA" w:rsidRDefault="00272158" w:rsidP="00FE44BA">
      <w:pPr>
        <w:pStyle w:val="1"/>
        <w:spacing w:after="240"/>
        <w:ind w:left="1080"/>
        <w:jc w:val="both"/>
        <w:rPr>
          <w:rFonts w:ascii="Book Antiqua" w:hAnsi="Book Antiqua"/>
        </w:rPr>
      </w:pPr>
      <w:r>
        <w:rPr>
          <w:noProof/>
          <w:lang w:eastAsia="zh-CN"/>
        </w:rPr>
        <w:lastRenderedPageBreak/>
        <mc:AlternateContent>
          <mc:Choice Requires="wpg">
            <w:drawing>
              <wp:anchor distT="0" distB="0" distL="114300" distR="114300" simplePos="0" relativeHeight="251659264" behindDoc="0" locked="0" layoutInCell="1" allowOverlap="1" wp14:anchorId="2FC2EA1D" wp14:editId="311CE6F8">
                <wp:simplePos x="0" y="0"/>
                <wp:positionH relativeFrom="page">
                  <wp:posOffset>1380490</wp:posOffset>
                </wp:positionH>
                <wp:positionV relativeFrom="paragraph">
                  <wp:posOffset>60960</wp:posOffset>
                </wp:positionV>
                <wp:extent cx="5422900" cy="2241550"/>
                <wp:effectExtent l="0" t="0" r="0" b="25400"/>
                <wp:wrapNone/>
                <wp:docPr id="8" name="Group 47"/>
                <wp:cNvGraphicFramePr/>
                <a:graphic xmlns:a="http://schemas.openxmlformats.org/drawingml/2006/main">
                  <a:graphicData uri="http://schemas.microsoft.com/office/word/2010/wordprocessingGroup">
                    <wpg:wgp>
                      <wpg:cNvGrpSpPr/>
                      <wpg:grpSpPr>
                        <a:xfrm>
                          <a:off x="0" y="0"/>
                          <a:ext cx="5422900" cy="2241550"/>
                          <a:chOff x="0" y="0"/>
                          <a:chExt cx="5105400" cy="2514600"/>
                        </a:xfrm>
                      </wpg:grpSpPr>
                      <wpg:graphicFrame>
                        <wpg:cNvPr id="9" name="Diagram 9"/>
                        <wpg:cNvFrPr/>
                        <wpg:xfrm>
                          <a:off x="0" y="0"/>
                          <a:ext cx="5105400" cy="2413000"/>
                        </wpg:xfrm>
                        <a:graphic>
                          <a:graphicData uri="http://schemas.openxmlformats.org/drawingml/2006/diagram">
                            <dgm:relIds xmlns:dgm="http://schemas.openxmlformats.org/drawingml/2006/diagram" xmlns:r="http://schemas.openxmlformats.org/officeDocument/2006/relationships" r:dm="rId11" r:lo="rId12" r:qs="rId13" r:cs="rId14"/>
                          </a:graphicData>
                        </a:graphic>
                      </wpg:graphicFrame>
                      <wps:wsp>
                        <wps:cNvPr id="11" name="Straight Connector 11"/>
                        <wps:cNvCnPr/>
                        <wps:spPr>
                          <a:xfrm>
                            <a:off x="1721727" y="2053684"/>
                            <a:ext cx="274998" cy="0"/>
                          </a:xfrm>
                          <a:prstGeom prst="line">
                            <a:avLst/>
                          </a:prstGeom>
                          <a:ln w="25400">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flipV="1">
                            <a:off x="3047952" y="2071062"/>
                            <a:ext cx="269592" cy="2"/>
                          </a:xfrm>
                          <a:prstGeom prst="line">
                            <a:avLst/>
                          </a:prstGeom>
                          <a:ln w="25400">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13" name="Rectangle 13"/>
                        <wps:cNvSpPr/>
                        <wps:spPr>
                          <a:xfrm>
                            <a:off x="76197" y="1589809"/>
                            <a:ext cx="4730079" cy="92479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g:wgp>
                  </a:graphicData>
                </a:graphic>
                <wp14:sizeRelH relativeFrom="margin">
                  <wp14:pctWidth>0</wp14:pctWidth>
                </wp14:sizeRelH>
                <wp14:sizeRelV relativeFrom="margin">
                  <wp14:pctHeight>0</wp14:pctHeight>
                </wp14:sizeRelV>
              </wp:anchor>
            </w:drawing>
          </mc:Choice>
          <mc:Fallback>
            <w:pict>
              <v:group w14:anchorId="36A37E30" id="Group 47" o:spid="_x0000_s1026" style="position:absolute;margin-left:108.7pt;margin-top:4.8pt;width:427pt;height:176.5pt;z-index:251659264;mso-position-horizontal-relative:page;mso-width-relative:margin;mso-height-relative:margin" coordsize="51054,25146"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9" o:spid="_x0000_s1027" type="#_x0000_t75" style="position:absolute;left:4820;top:-136;width:39198;height:244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">
                  <v:imagedata r:id="rId16" o:title=""/>
                  <o:lock v:ext="edit" aspectratio="f"/>
                </v:shape>
                <v:line id="Straight Connector 11" o:spid="_x0000_s1028" style="position:absolute;visibility:visible;mso-wrap-style:square" from="17217,20536" to="19967,20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" strokecolor="#f79646 [3209]" strokeweight="2pt"/>
                <v:line id="Straight Connector 12" o:spid="_x0000_s1029" style="position:absolute;flip:y;visibility:visible;mso-wrap-style:square" from="30479,20710" to="33175,2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" strokecolor="#f79646 [3209]" strokeweight="2pt"/>
                <v:rect id="Rectangle 13" o:spid="_x0000_s1030" style="position:absolute;left:761;top:15898;width:47301;height:9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" filled="f" strokecolor="#243f60 [1604]" strokeweight="2pt"/>
                <w10:wrap anchorx="page"/>
              </v:group>
            </w:pict>
          </mc:Fallback>
        </mc:AlternateContent>
      </w:r>
    </w:p>
    <w:p w14:paraId="10412C9F" w14:textId="2A212CA8" w:rsidR="00D431B4" w:rsidRDefault="00D431B4" w:rsidP="00D431B4">
      <w:pPr>
        <w:spacing w:after="240"/>
        <w:jc w:val="both"/>
        <w:rPr>
          <w:rFonts w:ascii="Book Antiqua" w:hAnsi="Book Antiqua"/>
        </w:rPr>
      </w:pPr>
    </w:p>
    <w:p w14:paraId="2F598FAD" w14:textId="245E3B5E" w:rsidR="00D431B4" w:rsidRDefault="00D431B4" w:rsidP="00D431B4">
      <w:pPr>
        <w:spacing w:after="240"/>
        <w:jc w:val="both"/>
        <w:rPr>
          <w:rFonts w:ascii="Book Antiqua" w:hAnsi="Book Antiqua"/>
        </w:rPr>
      </w:pPr>
    </w:p>
    <w:p w14:paraId="19E9B75E" w14:textId="7EFFDEAF" w:rsidR="00D431B4" w:rsidRDefault="00D431B4" w:rsidP="00D431B4">
      <w:pPr>
        <w:spacing w:after="240"/>
        <w:jc w:val="both"/>
        <w:rPr>
          <w:rFonts w:ascii="Book Antiqua" w:hAnsi="Book Antiqua"/>
        </w:rPr>
      </w:pPr>
    </w:p>
    <w:p w14:paraId="362C4A9F" w14:textId="4D84B561" w:rsidR="00D431B4" w:rsidRDefault="00D431B4" w:rsidP="00D431B4">
      <w:pPr>
        <w:pStyle w:val="1"/>
        <w:spacing w:after="240"/>
        <w:ind w:left="1080"/>
        <w:jc w:val="both"/>
        <w:rPr>
          <w:rFonts w:ascii="Book Antiqua" w:hAnsi="Book Antiqua"/>
        </w:rPr>
      </w:pPr>
    </w:p>
    <w:p w14:paraId="5C377573" w14:textId="77777777" w:rsidR="00D431B4" w:rsidRDefault="00D431B4" w:rsidP="00D431B4">
      <w:pPr>
        <w:pStyle w:val="1"/>
        <w:spacing w:after="240" w:line="240" w:lineRule="auto"/>
        <w:ind w:left="1080"/>
        <w:jc w:val="both"/>
        <w:rPr>
          <w:rFonts w:ascii="Book Antiqua" w:hAnsi="Book Antiqua"/>
        </w:rPr>
      </w:pPr>
    </w:p>
    <w:p w14:paraId="56A1A5C0" w14:textId="77777777" w:rsidR="00D431B4" w:rsidRDefault="00D431B4" w:rsidP="00D431B4">
      <w:pPr>
        <w:pStyle w:val="1"/>
        <w:spacing w:after="240" w:line="320" w:lineRule="exact"/>
        <w:ind w:left="1080"/>
        <w:rPr>
          <w:rFonts w:ascii="Book Antiqua" w:hAnsi="Book Antiqua"/>
        </w:rPr>
      </w:pPr>
    </w:p>
    <w:p w14:paraId="1260A2F3" w14:textId="733D84D5" w:rsidR="00D431B4" w:rsidRDefault="00D431B4" w:rsidP="00D431B4">
      <w:pPr>
        <w:pStyle w:val="1"/>
        <w:spacing w:after="240" w:line="320" w:lineRule="exact"/>
        <w:ind w:left="1080"/>
        <w:rPr>
          <w:rFonts w:ascii="Book Antiqua" w:hAnsi="Book Antiqua"/>
        </w:rPr>
      </w:pPr>
    </w:p>
    <w:p w14:paraId="1A1DC775" w14:textId="03799286" w:rsidR="00FE44BA" w:rsidRDefault="00FE44BA" w:rsidP="00D431B4">
      <w:pPr>
        <w:pStyle w:val="1"/>
        <w:spacing w:after="240" w:line="320" w:lineRule="exact"/>
        <w:ind w:left="1080"/>
        <w:rPr>
          <w:rFonts w:ascii="Book Antiqua" w:hAnsi="Book Antiqua"/>
        </w:rPr>
      </w:pPr>
    </w:p>
    <w:p w14:paraId="69F6C8F0" w14:textId="6C669C64" w:rsidR="00FE44BA" w:rsidRDefault="00FE44BA" w:rsidP="00D431B4">
      <w:pPr>
        <w:pStyle w:val="1"/>
        <w:spacing w:after="240" w:line="320" w:lineRule="exact"/>
        <w:ind w:left="1080"/>
        <w:rPr>
          <w:rFonts w:ascii="Book Antiqua" w:hAnsi="Book Antiqua"/>
        </w:rPr>
      </w:pPr>
    </w:p>
    <w:p w14:paraId="378AA4A3" w14:textId="77777777" w:rsidR="00FE44BA" w:rsidRDefault="00FE44BA" w:rsidP="00D431B4">
      <w:pPr>
        <w:pStyle w:val="1"/>
        <w:spacing w:after="240" w:line="320" w:lineRule="exact"/>
        <w:ind w:left="1080"/>
        <w:rPr>
          <w:rFonts w:ascii="Book Antiqua" w:hAnsi="Book Antiqua"/>
        </w:rPr>
      </w:pPr>
    </w:p>
    <w:p w14:paraId="32739CBF" w14:textId="77777777" w:rsidR="00D431B4" w:rsidRPr="00FE44BA" w:rsidRDefault="00D431B4" w:rsidP="00D431B4">
      <w:pPr>
        <w:pStyle w:val="1"/>
        <w:numPr>
          <w:ilvl w:val="1"/>
          <w:numId w:val="11"/>
        </w:numPr>
        <w:tabs>
          <w:tab w:val="left" w:pos="90"/>
        </w:tabs>
        <w:spacing w:after="240"/>
        <w:ind w:left="180" w:hanging="180"/>
        <w:jc w:val="both"/>
        <w:rPr>
          <w:rFonts w:ascii="Book Antiqua" w:hAnsi="Book Antiqua"/>
          <w:b/>
        </w:rPr>
      </w:pPr>
      <w:r w:rsidRPr="00FE44BA">
        <w:rPr>
          <w:rFonts w:ascii="Book Antiqua" w:hAnsi="Book Antiqua"/>
          <w:b/>
        </w:rPr>
        <w:t>Senior Officials Meeting (SOM)</w:t>
      </w:r>
    </w:p>
    <w:p w14:paraId="185126BA" w14:textId="77777777" w:rsidR="00D431B4" w:rsidRDefault="00D431B4" w:rsidP="00D431B4">
      <w:pPr>
        <w:pStyle w:val="1"/>
        <w:tabs>
          <w:tab w:val="left" w:pos="90"/>
        </w:tabs>
        <w:spacing w:after="240"/>
        <w:ind w:left="180"/>
        <w:jc w:val="both"/>
        <w:rPr>
          <w:rFonts w:ascii="Book Antiqua" w:hAnsi="Book Antiqua"/>
          <w:b/>
        </w:rPr>
      </w:pPr>
    </w:p>
    <w:p w14:paraId="7C477127" w14:textId="77777777" w:rsidR="00D431B4" w:rsidRDefault="00D431B4" w:rsidP="00D431B4">
      <w:pPr>
        <w:pStyle w:val="1"/>
        <w:numPr>
          <w:ilvl w:val="0"/>
          <w:numId w:val="16"/>
        </w:numPr>
        <w:spacing w:after="240"/>
        <w:jc w:val="both"/>
        <w:rPr>
          <w:rFonts w:ascii="Book Antiqua" w:hAnsi="Book Antiqua"/>
        </w:rPr>
      </w:pPr>
      <w:r>
        <w:rPr>
          <w:rFonts w:ascii="Book Antiqua" w:hAnsi="Book Antiqua"/>
        </w:rPr>
        <w:t xml:space="preserve">Further improve the effectiveness of its primary function as the governing body of NEASPEC with the proper level of representations from member States  </w:t>
      </w:r>
    </w:p>
    <w:p w14:paraId="5BCCDF3A" w14:textId="77777777" w:rsidR="00D431B4" w:rsidRDefault="00D431B4" w:rsidP="00D431B4">
      <w:pPr>
        <w:pStyle w:val="1"/>
        <w:numPr>
          <w:ilvl w:val="0"/>
          <w:numId w:val="16"/>
        </w:numPr>
        <w:spacing w:after="240"/>
        <w:jc w:val="both"/>
        <w:rPr>
          <w:rFonts w:ascii="Book Antiqua" w:hAnsi="Book Antiqua"/>
        </w:rPr>
      </w:pPr>
      <w:r>
        <w:rPr>
          <w:rFonts w:ascii="Book Antiqua" w:hAnsi="Book Antiqua"/>
        </w:rPr>
        <w:t xml:space="preserve">Promote SOM as a key </w:t>
      </w:r>
      <w:proofErr w:type="spellStart"/>
      <w:r>
        <w:rPr>
          <w:rFonts w:ascii="Book Antiqua" w:hAnsi="Book Antiqua"/>
        </w:rPr>
        <w:t>subregional</w:t>
      </w:r>
      <w:proofErr w:type="spellEnd"/>
      <w:r>
        <w:rPr>
          <w:rFonts w:ascii="Book Antiqua" w:hAnsi="Book Antiqua"/>
        </w:rPr>
        <w:t xml:space="preserve"> platform for joint review and dialogue among major stakeholders on </w:t>
      </w:r>
      <w:proofErr w:type="spellStart"/>
      <w:r>
        <w:rPr>
          <w:rFonts w:ascii="Book Antiqua" w:hAnsi="Book Antiqua"/>
        </w:rPr>
        <w:t>subregional</w:t>
      </w:r>
      <w:proofErr w:type="spellEnd"/>
      <w:r>
        <w:rPr>
          <w:rFonts w:ascii="Book Antiqua" w:hAnsi="Book Antiqua"/>
        </w:rPr>
        <w:t xml:space="preserve"> environmental cooperation</w:t>
      </w:r>
    </w:p>
    <w:p w14:paraId="5D9C89DD" w14:textId="77777777" w:rsidR="00D431B4" w:rsidRDefault="00D431B4" w:rsidP="00D431B4">
      <w:pPr>
        <w:pStyle w:val="1"/>
        <w:spacing w:after="240"/>
        <w:ind w:left="1080"/>
        <w:jc w:val="both"/>
        <w:rPr>
          <w:rFonts w:ascii="Book Antiqua" w:hAnsi="Book Antiqua"/>
        </w:rPr>
      </w:pPr>
    </w:p>
    <w:p w14:paraId="5961BC4C" w14:textId="77777777" w:rsidR="00D431B4" w:rsidRPr="00FE44BA" w:rsidRDefault="00D431B4" w:rsidP="00D431B4">
      <w:pPr>
        <w:pStyle w:val="1"/>
        <w:numPr>
          <w:ilvl w:val="1"/>
          <w:numId w:val="11"/>
        </w:numPr>
        <w:tabs>
          <w:tab w:val="left" w:pos="90"/>
        </w:tabs>
        <w:spacing w:after="240"/>
        <w:ind w:left="180" w:hanging="180"/>
        <w:jc w:val="both"/>
        <w:rPr>
          <w:rFonts w:ascii="Book Antiqua" w:hAnsi="Book Antiqua"/>
          <w:b/>
        </w:rPr>
      </w:pPr>
      <w:r w:rsidRPr="00FE44BA">
        <w:rPr>
          <w:rFonts w:ascii="Book Antiqua" w:hAnsi="Book Antiqua"/>
          <w:b/>
        </w:rPr>
        <w:t xml:space="preserve">Secretariat </w:t>
      </w:r>
    </w:p>
    <w:p w14:paraId="1581A7B9" w14:textId="77777777" w:rsidR="00D431B4" w:rsidRDefault="00D431B4" w:rsidP="00D431B4">
      <w:pPr>
        <w:pStyle w:val="1"/>
        <w:tabs>
          <w:tab w:val="left" w:pos="90"/>
        </w:tabs>
        <w:spacing w:after="240"/>
        <w:ind w:left="180"/>
        <w:jc w:val="both"/>
        <w:rPr>
          <w:rFonts w:ascii="Book Antiqua" w:hAnsi="Book Antiqua"/>
          <w:b/>
        </w:rPr>
      </w:pPr>
    </w:p>
    <w:p w14:paraId="2A0C1E34" w14:textId="71F40A3E" w:rsidR="00D431B4" w:rsidRDefault="00D431B4" w:rsidP="00D431B4">
      <w:pPr>
        <w:pStyle w:val="1"/>
        <w:numPr>
          <w:ilvl w:val="0"/>
          <w:numId w:val="16"/>
        </w:numPr>
        <w:spacing w:after="240"/>
        <w:jc w:val="both"/>
        <w:rPr>
          <w:rFonts w:ascii="Book Antiqua" w:hAnsi="Book Antiqua"/>
        </w:rPr>
      </w:pPr>
      <w:r>
        <w:rPr>
          <w:rFonts w:ascii="Book Antiqua" w:hAnsi="Book Antiqua"/>
        </w:rPr>
        <w:t xml:space="preserve">Improve the efficiency and effectiveness of the Secretariat in </w:t>
      </w:r>
      <w:proofErr w:type="spellStart"/>
      <w:r>
        <w:rPr>
          <w:rFonts w:ascii="Book Antiqua" w:hAnsi="Book Antiqua"/>
        </w:rPr>
        <w:t>programme</w:t>
      </w:r>
      <w:proofErr w:type="spellEnd"/>
      <w:r>
        <w:rPr>
          <w:rFonts w:ascii="Book Antiqua" w:hAnsi="Book Antiqua"/>
        </w:rPr>
        <w:t xml:space="preserve"> management and communication with the member </w:t>
      </w:r>
      <w:r w:rsidR="00FE44BA">
        <w:rPr>
          <w:rFonts w:ascii="Book Antiqua" w:hAnsi="Book Antiqua"/>
        </w:rPr>
        <w:t>g</w:t>
      </w:r>
      <w:r>
        <w:rPr>
          <w:rFonts w:ascii="Book Antiqua" w:hAnsi="Book Antiqua"/>
        </w:rPr>
        <w:t>overnments and stakeholders</w:t>
      </w:r>
    </w:p>
    <w:p w14:paraId="2DEF7AFF" w14:textId="77777777" w:rsidR="00D431B4" w:rsidRDefault="00D431B4" w:rsidP="00D431B4">
      <w:pPr>
        <w:pStyle w:val="1"/>
        <w:numPr>
          <w:ilvl w:val="0"/>
          <w:numId w:val="16"/>
        </w:numPr>
        <w:spacing w:after="240"/>
        <w:jc w:val="both"/>
        <w:rPr>
          <w:rFonts w:ascii="Book Antiqua" w:hAnsi="Book Antiqua"/>
        </w:rPr>
      </w:pPr>
      <w:r>
        <w:rPr>
          <w:rFonts w:ascii="Book Antiqua" w:hAnsi="Book Antiqua"/>
        </w:rPr>
        <w:t xml:space="preserve">Strengthen the secretariat capacity including through the secondment of national experts to the Secretariat </w:t>
      </w:r>
    </w:p>
    <w:p w14:paraId="574E54C3" w14:textId="4F541143" w:rsidR="00D431B4" w:rsidRDefault="00D431B4" w:rsidP="00D431B4">
      <w:pPr>
        <w:pStyle w:val="1"/>
        <w:numPr>
          <w:ilvl w:val="0"/>
          <w:numId w:val="16"/>
        </w:numPr>
        <w:spacing w:after="240"/>
        <w:jc w:val="both"/>
        <w:rPr>
          <w:rFonts w:ascii="Book Antiqua" w:hAnsi="Book Antiqua"/>
        </w:rPr>
      </w:pPr>
      <w:r>
        <w:rPr>
          <w:rFonts w:ascii="Book Antiqua" w:hAnsi="Book Antiqua"/>
        </w:rPr>
        <w:t xml:space="preserve">Supplement the </w:t>
      </w:r>
      <w:r w:rsidR="00015CA5">
        <w:rPr>
          <w:rFonts w:ascii="Book Antiqua" w:hAnsi="Book Antiqua"/>
        </w:rPr>
        <w:t>S</w:t>
      </w:r>
      <w:r>
        <w:rPr>
          <w:rFonts w:ascii="Book Antiqua" w:hAnsi="Book Antiqua"/>
        </w:rPr>
        <w:t xml:space="preserve">ecretariat capacity by enhancing the role of committees, working groups and national institutions in </w:t>
      </w:r>
      <w:proofErr w:type="spellStart"/>
      <w:r>
        <w:rPr>
          <w:rFonts w:ascii="Book Antiqua" w:hAnsi="Book Antiqua"/>
        </w:rPr>
        <w:t>programme</w:t>
      </w:r>
      <w:proofErr w:type="spellEnd"/>
      <w:r>
        <w:rPr>
          <w:rFonts w:ascii="Book Antiqua" w:hAnsi="Book Antiqua"/>
        </w:rPr>
        <w:t xml:space="preserve"> development and implementation </w:t>
      </w:r>
    </w:p>
    <w:p w14:paraId="7316ABA8" w14:textId="77777777" w:rsidR="00D431B4" w:rsidRDefault="00D431B4" w:rsidP="00D431B4">
      <w:pPr>
        <w:pStyle w:val="1"/>
        <w:spacing w:after="240"/>
        <w:ind w:left="1080"/>
        <w:jc w:val="both"/>
        <w:rPr>
          <w:rFonts w:ascii="Book Antiqua" w:hAnsi="Book Antiqua"/>
          <w:sz w:val="24"/>
          <w:szCs w:val="24"/>
        </w:rPr>
      </w:pPr>
    </w:p>
    <w:p w14:paraId="47C43EAC" w14:textId="77777777" w:rsidR="00D431B4" w:rsidRPr="00FE44BA" w:rsidRDefault="00D431B4" w:rsidP="00D431B4">
      <w:pPr>
        <w:pStyle w:val="1"/>
        <w:numPr>
          <w:ilvl w:val="1"/>
          <w:numId w:val="11"/>
        </w:numPr>
        <w:tabs>
          <w:tab w:val="left" w:pos="90"/>
        </w:tabs>
        <w:spacing w:after="240"/>
        <w:ind w:left="180" w:hanging="180"/>
        <w:jc w:val="both"/>
        <w:rPr>
          <w:rFonts w:ascii="Book Antiqua" w:hAnsi="Book Antiqua"/>
          <w:b/>
        </w:rPr>
      </w:pPr>
      <w:r w:rsidRPr="00FE44BA">
        <w:rPr>
          <w:rFonts w:ascii="Book Antiqua" w:hAnsi="Book Antiqua"/>
          <w:b/>
        </w:rPr>
        <w:t xml:space="preserve">Committees and Working Groups </w:t>
      </w:r>
    </w:p>
    <w:p w14:paraId="4EA52307" w14:textId="77777777" w:rsidR="00D431B4" w:rsidRDefault="00D431B4" w:rsidP="00D431B4">
      <w:pPr>
        <w:pStyle w:val="1"/>
        <w:tabs>
          <w:tab w:val="left" w:pos="90"/>
        </w:tabs>
        <w:spacing w:after="240"/>
        <w:ind w:left="180"/>
        <w:jc w:val="both"/>
        <w:rPr>
          <w:rFonts w:ascii="Book Antiqua" w:hAnsi="Book Antiqua"/>
          <w:b/>
        </w:rPr>
      </w:pPr>
    </w:p>
    <w:p w14:paraId="303D9584" w14:textId="77777777" w:rsidR="00D431B4" w:rsidRDefault="00D431B4" w:rsidP="00D431B4">
      <w:pPr>
        <w:pStyle w:val="1"/>
        <w:numPr>
          <w:ilvl w:val="0"/>
          <w:numId w:val="16"/>
        </w:numPr>
        <w:spacing w:after="240"/>
        <w:jc w:val="both"/>
        <w:rPr>
          <w:rFonts w:ascii="Book Antiqua" w:hAnsi="Book Antiqua"/>
        </w:rPr>
      </w:pPr>
      <w:r>
        <w:rPr>
          <w:rFonts w:ascii="Book Antiqua" w:hAnsi="Book Antiqua"/>
        </w:rPr>
        <w:t xml:space="preserve">Support the effective operation of the existing committees, NEACAP Science and Policy Committee, and NEAMPAN Steering Committee, as the main instrument for planning and implementing work in their respective area in accordance with the agreed mandates </w:t>
      </w:r>
    </w:p>
    <w:p w14:paraId="459DB7DA" w14:textId="77777777" w:rsidR="00D431B4" w:rsidRDefault="00D431B4" w:rsidP="00D431B4">
      <w:pPr>
        <w:pStyle w:val="1"/>
        <w:numPr>
          <w:ilvl w:val="0"/>
          <w:numId w:val="16"/>
        </w:numPr>
        <w:spacing w:after="240"/>
        <w:jc w:val="both"/>
        <w:rPr>
          <w:rFonts w:ascii="Book Antiqua" w:hAnsi="Book Antiqua"/>
        </w:rPr>
      </w:pPr>
      <w:r>
        <w:rPr>
          <w:rFonts w:ascii="Book Antiqua" w:hAnsi="Book Antiqua"/>
        </w:rPr>
        <w:t xml:space="preserve">Develop committees and/or working groups in other thematic areas if deemed necessary </w:t>
      </w:r>
    </w:p>
    <w:p w14:paraId="5FCEF939" w14:textId="79AA8F47" w:rsidR="00D431B4" w:rsidRDefault="00D431B4" w:rsidP="00D9682B">
      <w:pPr>
        <w:pStyle w:val="1"/>
        <w:numPr>
          <w:ilvl w:val="0"/>
          <w:numId w:val="16"/>
        </w:numPr>
        <w:spacing w:after="240"/>
        <w:jc w:val="both"/>
        <w:rPr>
          <w:rFonts w:ascii="Book Antiqua" w:hAnsi="Book Antiqua"/>
        </w:rPr>
      </w:pPr>
      <w:r>
        <w:rPr>
          <w:rFonts w:ascii="Book Antiqua" w:hAnsi="Book Antiqua"/>
        </w:rPr>
        <w:t xml:space="preserve">Delegate proper authority and provide support to the national members of committees and working groups for making the institutional arrangement fully functional </w:t>
      </w:r>
    </w:p>
    <w:p w14:paraId="223BE3F7" w14:textId="77777777" w:rsidR="00D431B4" w:rsidRPr="00015CA5" w:rsidRDefault="00D431B4" w:rsidP="00D431B4">
      <w:pPr>
        <w:pStyle w:val="1"/>
        <w:numPr>
          <w:ilvl w:val="1"/>
          <w:numId w:val="11"/>
        </w:numPr>
        <w:tabs>
          <w:tab w:val="left" w:pos="90"/>
        </w:tabs>
        <w:spacing w:after="240"/>
        <w:ind w:left="180" w:hanging="180"/>
        <w:jc w:val="both"/>
        <w:rPr>
          <w:rFonts w:ascii="Book Antiqua" w:hAnsi="Book Antiqua"/>
          <w:b/>
        </w:rPr>
      </w:pPr>
      <w:r w:rsidRPr="00015CA5">
        <w:rPr>
          <w:rFonts w:ascii="Book Antiqua" w:hAnsi="Book Antiqua"/>
          <w:b/>
        </w:rPr>
        <w:lastRenderedPageBreak/>
        <w:t xml:space="preserve">Financial Resources </w:t>
      </w:r>
    </w:p>
    <w:p w14:paraId="6EA52F8D" w14:textId="77777777" w:rsidR="00D431B4" w:rsidRDefault="00D431B4" w:rsidP="00D431B4">
      <w:pPr>
        <w:pStyle w:val="1"/>
        <w:tabs>
          <w:tab w:val="left" w:pos="90"/>
        </w:tabs>
        <w:spacing w:after="240"/>
        <w:ind w:left="180"/>
        <w:jc w:val="both"/>
        <w:rPr>
          <w:rFonts w:ascii="Book Antiqua" w:hAnsi="Book Antiqua"/>
          <w:b/>
        </w:rPr>
      </w:pPr>
    </w:p>
    <w:p w14:paraId="521E3699" w14:textId="77777777" w:rsidR="00D431B4" w:rsidRDefault="00D431B4" w:rsidP="00D431B4">
      <w:pPr>
        <w:pStyle w:val="1"/>
        <w:numPr>
          <w:ilvl w:val="0"/>
          <w:numId w:val="16"/>
        </w:numPr>
        <w:spacing w:after="240"/>
        <w:jc w:val="both"/>
        <w:rPr>
          <w:rFonts w:ascii="Book Antiqua" w:hAnsi="Book Antiqua"/>
        </w:rPr>
      </w:pPr>
      <w:r>
        <w:rPr>
          <w:rFonts w:ascii="Book Antiqua" w:hAnsi="Book Antiqua"/>
        </w:rPr>
        <w:t xml:space="preserve">Improve financial resources of NEASPEC by ensuring more stable and predictable national contributions to the Core Fund </w:t>
      </w:r>
    </w:p>
    <w:p w14:paraId="6C216784" w14:textId="73781FD1" w:rsidR="00D431B4" w:rsidRDefault="00D431B4" w:rsidP="00D431B4">
      <w:pPr>
        <w:pStyle w:val="1"/>
        <w:numPr>
          <w:ilvl w:val="0"/>
          <w:numId w:val="16"/>
        </w:numPr>
        <w:spacing w:after="240"/>
        <w:jc w:val="both"/>
        <w:rPr>
          <w:rFonts w:ascii="Book Antiqua" w:hAnsi="Book Antiqua"/>
        </w:rPr>
      </w:pPr>
      <w:r>
        <w:rPr>
          <w:rFonts w:ascii="Book Antiqua" w:hAnsi="Book Antiqua"/>
        </w:rPr>
        <w:t xml:space="preserve">Mobilize financial resources and in-kind contributions from diverse sources of member </w:t>
      </w:r>
      <w:r w:rsidR="00015CA5">
        <w:rPr>
          <w:rFonts w:ascii="Book Antiqua" w:hAnsi="Book Antiqua"/>
        </w:rPr>
        <w:t>S</w:t>
      </w:r>
      <w:r>
        <w:rPr>
          <w:rFonts w:ascii="Book Antiqua" w:hAnsi="Book Antiqua"/>
        </w:rPr>
        <w:t xml:space="preserve">tates as appropriate </w:t>
      </w:r>
    </w:p>
    <w:p w14:paraId="588D2E49" w14:textId="77777777" w:rsidR="00D431B4" w:rsidRDefault="00D431B4" w:rsidP="00D431B4">
      <w:pPr>
        <w:pStyle w:val="1"/>
        <w:numPr>
          <w:ilvl w:val="0"/>
          <w:numId w:val="16"/>
        </w:numPr>
        <w:spacing w:after="240"/>
        <w:jc w:val="both"/>
        <w:rPr>
          <w:rFonts w:ascii="Book Antiqua" w:hAnsi="Book Antiqua"/>
        </w:rPr>
      </w:pPr>
      <w:r>
        <w:rPr>
          <w:rFonts w:ascii="Book Antiqua" w:hAnsi="Book Antiqua"/>
        </w:rPr>
        <w:t xml:space="preserve">Build partnership with national and international institutions, and civil society organizations to diversify the modality of financial and in-kind contributions </w:t>
      </w:r>
    </w:p>
    <w:p w14:paraId="3B357FC2" w14:textId="77777777" w:rsidR="00D431B4" w:rsidRDefault="00D431B4" w:rsidP="00D431B4">
      <w:pPr>
        <w:pStyle w:val="1"/>
        <w:numPr>
          <w:ilvl w:val="0"/>
          <w:numId w:val="16"/>
        </w:numPr>
        <w:spacing w:after="240"/>
        <w:jc w:val="both"/>
        <w:rPr>
          <w:rFonts w:ascii="Book Antiqua" w:hAnsi="Book Antiqua"/>
        </w:rPr>
      </w:pPr>
      <w:r>
        <w:rPr>
          <w:rFonts w:ascii="Book Antiqua" w:hAnsi="Book Antiqua"/>
        </w:rPr>
        <w:t xml:space="preserve">Encourage participation of stakeholder groups and self-financing of beneficiaries to participate in the </w:t>
      </w:r>
      <w:proofErr w:type="spellStart"/>
      <w:r>
        <w:rPr>
          <w:rFonts w:ascii="Book Antiqua" w:hAnsi="Book Antiqua"/>
        </w:rPr>
        <w:t>programme</w:t>
      </w:r>
      <w:proofErr w:type="spellEnd"/>
      <w:r>
        <w:rPr>
          <w:rFonts w:ascii="Book Antiqua" w:hAnsi="Book Antiqua"/>
        </w:rPr>
        <w:t xml:space="preserve">. </w:t>
      </w:r>
    </w:p>
    <w:p w14:paraId="0E731C22" w14:textId="77777777" w:rsidR="00D431B4" w:rsidRPr="00015CA5" w:rsidRDefault="00D431B4" w:rsidP="00D431B4">
      <w:pPr>
        <w:pStyle w:val="1"/>
        <w:spacing w:after="240" w:line="320" w:lineRule="exact"/>
        <w:ind w:left="1080"/>
        <w:jc w:val="both"/>
        <w:rPr>
          <w:rFonts w:ascii="Book Antiqua" w:hAnsi="Book Antiqua"/>
        </w:rPr>
      </w:pPr>
    </w:p>
    <w:p w14:paraId="710AF1FB" w14:textId="77777777" w:rsidR="00D431B4" w:rsidRPr="00D9682B" w:rsidRDefault="00D431B4" w:rsidP="00D431B4">
      <w:pPr>
        <w:pStyle w:val="1"/>
        <w:numPr>
          <w:ilvl w:val="0"/>
          <w:numId w:val="11"/>
        </w:numPr>
        <w:spacing w:after="240"/>
        <w:ind w:left="630" w:hanging="630"/>
        <w:rPr>
          <w:rFonts w:ascii="Book Antiqua" w:hAnsi="Book Antiqua"/>
          <w:b/>
          <w:color w:val="0070C0"/>
          <w:sz w:val="24"/>
          <w:szCs w:val="24"/>
        </w:rPr>
      </w:pPr>
      <w:r w:rsidRPr="00D9682B">
        <w:rPr>
          <w:rFonts w:ascii="Book Antiqua" w:hAnsi="Book Antiqua"/>
          <w:b/>
          <w:color w:val="0070C0"/>
          <w:sz w:val="24"/>
          <w:szCs w:val="24"/>
        </w:rPr>
        <w:t>Monitoring and Evaluation</w:t>
      </w:r>
    </w:p>
    <w:p w14:paraId="4BF21BC6" w14:textId="77777777" w:rsidR="00D431B4" w:rsidRDefault="00D431B4" w:rsidP="00D431B4">
      <w:pPr>
        <w:spacing w:before="240" w:after="240"/>
        <w:ind w:left="709"/>
        <w:jc w:val="both"/>
        <w:rPr>
          <w:rFonts w:ascii="Book Antiqua" w:hAnsi="Book Antiqua"/>
        </w:rPr>
      </w:pPr>
      <w:r>
        <w:rPr>
          <w:rFonts w:ascii="Book Antiqua" w:hAnsi="Book Antiqua"/>
        </w:rPr>
        <w:t xml:space="preserve">Monitoring and evaluation of </w:t>
      </w:r>
      <w:proofErr w:type="spellStart"/>
      <w:r>
        <w:rPr>
          <w:rFonts w:ascii="Book Antiqua" w:hAnsi="Book Antiqua"/>
        </w:rPr>
        <w:t>programme</w:t>
      </w:r>
      <w:proofErr w:type="spellEnd"/>
      <w:r>
        <w:rPr>
          <w:rFonts w:ascii="Book Antiqua" w:hAnsi="Book Antiqua"/>
        </w:rPr>
        <w:t xml:space="preserve"> implementation and secretariat operation will be carried out through the annual Senior Officials Meeting and the internal progress review of ESCAP. </w:t>
      </w:r>
    </w:p>
    <w:p w14:paraId="222062DB" w14:textId="77777777" w:rsidR="00D431B4" w:rsidRDefault="00D431B4" w:rsidP="00D431B4">
      <w:pPr>
        <w:spacing w:before="240" w:after="240"/>
        <w:ind w:left="709"/>
        <w:jc w:val="both"/>
        <w:rPr>
          <w:rFonts w:ascii="Book Antiqua" w:hAnsi="Book Antiqua"/>
        </w:rPr>
      </w:pPr>
      <w:bookmarkStart w:id="8" w:name="_Hlk45197062"/>
      <w:r>
        <w:rPr>
          <w:rFonts w:ascii="Book Antiqua" w:hAnsi="Book Antiqua"/>
        </w:rPr>
        <w:t xml:space="preserve">At the SOM, monitoring will include the current progress </w:t>
      </w:r>
      <w:bookmarkEnd w:id="8"/>
      <w:r>
        <w:rPr>
          <w:rFonts w:ascii="Book Antiqua" w:hAnsi="Book Antiqua"/>
        </w:rPr>
        <w:t xml:space="preserve">reporting of the work at the annual meeting to review the implementation of approved projects and activities; to discuss and decide on new areas and projects; and to ensure appropriate participation of relevant stakeholders from member States in </w:t>
      </w:r>
      <w:proofErr w:type="spellStart"/>
      <w:r>
        <w:rPr>
          <w:rFonts w:ascii="Book Antiqua" w:hAnsi="Book Antiqua"/>
        </w:rPr>
        <w:t>programme</w:t>
      </w:r>
      <w:proofErr w:type="spellEnd"/>
      <w:r>
        <w:rPr>
          <w:rFonts w:ascii="Book Antiqua" w:hAnsi="Book Antiqua"/>
        </w:rPr>
        <w:t xml:space="preserve"> planning and implementation.  </w:t>
      </w:r>
    </w:p>
    <w:p w14:paraId="4F7D42ED" w14:textId="77777777" w:rsidR="00D431B4" w:rsidRDefault="00D431B4" w:rsidP="00D431B4">
      <w:pPr>
        <w:spacing w:before="240" w:after="240"/>
        <w:ind w:left="709"/>
        <w:jc w:val="both"/>
        <w:rPr>
          <w:rFonts w:ascii="Book Antiqua" w:hAnsi="Book Antiqua"/>
        </w:rPr>
      </w:pPr>
      <w:r>
        <w:rPr>
          <w:rFonts w:ascii="Book Antiqua" w:hAnsi="Book Antiqua"/>
        </w:rPr>
        <w:t xml:space="preserve">Evaluation will include the assessment of project outcomes and recommendations, through project review meetings that include project partners and wider stakeholder groups, which will also be reported to SOM. Goals and activities of each thematic area and project can be revised according to the feedbacks from major stakeholders and to be decided by relevant Committee and/or SOM.  </w:t>
      </w:r>
    </w:p>
    <w:p w14:paraId="5FDF5ECD" w14:textId="626986F7" w:rsidR="00D431B4" w:rsidRDefault="00D431B4" w:rsidP="00272158">
      <w:pPr>
        <w:spacing w:before="240" w:after="240"/>
        <w:ind w:left="709"/>
        <w:jc w:val="both"/>
        <w:rPr>
          <w:rFonts w:ascii="Book Antiqua" w:hAnsi="Book Antiqua" w:cstheme="minorHAnsi"/>
          <w:b/>
          <w:u w:val="single"/>
        </w:rPr>
      </w:pPr>
      <w:r>
        <w:rPr>
          <w:rFonts w:ascii="Book Antiqua" w:hAnsi="Book Antiqua"/>
        </w:rPr>
        <w:t xml:space="preserve">In addition to the monitoring and evaluation by SOM, ESCAP regularly reviews the progress in </w:t>
      </w:r>
      <w:proofErr w:type="spellStart"/>
      <w:r>
        <w:rPr>
          <w:rFonts w:ascii="Book Antiqua" w:hAnsi="Book Antiqua"/>
        </w:rPr>
        <w:t>programme</w:t>
      </w:r>
      <w:proofErr w:type="spellEnd"/>
      <w:r>
        <w:rPr>
          <w:rFonts w:ascii="Book Antiqua" w:hAnsi="Book Antiqua"/>
        </w:rPr>
        <w:t xml:space="preserve"> to ensure its implementation in accordance with the plan and secretariat operation to ensure its compliance with the UN rules and regulations.  </w:t>
      </w:r>
      <w:bookmarkEnd w:id="3"/>
    </w:p>
    <w:p w14:paraId="1021580E" w14:textId="5F9EA0CE" w:rsidR="00D431B4" w:rsidRDefault="00D431B4" w:rsidP="00EC2B08">
      <w:pPr>
        <w:pStyle w:val="Heading1"/>
        <w:numPr>
          <w:ilvl w:val="0"/>
          <w:numId w:val="17"/>
        </w:numPr>
        <w:jc w:val="center"/>
        <w:rPr>
          <w:rFonts w:ascii="Book Antiqua" w:hAnsi="Book Antiqua"/>
          <w:caps/>
          <w:color w:val="auto"/>
          <w:sz w:val="24"/>
          <w:szCs w:val="24"/>
        </w:rPr>
      </w:pPr>
      <w:bookmarkStart w:id="9" w:name="_Toc50649459"/>
      <w:r w:rsidRPr="00015CA5">
        <w:rPr>
          <w:rFonts w:ascii="Book Antiqua" w:hAnsi="Book Antiqua"/>
          <w:caps/>
          <w:color w:val="auto"/>
          <w:sz w:val="24"/>
          <w:szCs w:val="24"/>
        </w:rPr>
        <w:t>Issues FOR consideration</w:t>
      </w:r>
      <w:bookmarkEnd w:id="9"/>
    </w:p>
    <w:p w14:paraId="10A4E4CF" w14:textId="14C94BBB" w:rsidR="00C67FAD" w:rsidRPr="00EC2B08" w:rsidRDefault="00D431B4" w:rsidP="00EC2B08">
      <w:pPr>
        <w:pStyle w:val="ListParagraph"/>
        <w:numPr>
          <w:ilvl w:val="0"/>
          <w:numId w:val="3"/>
        </w:numPr>
        <w:spacing w:after="120" w:line="340" w:lineRule="atLeast"/>
        <w:ind w:left="0" w:firstLine="0"/>
        <w:contextualSpacing w:val="0"/>
        <w:jc w:val="both"/>
        <w:rPr>
          <w:rFonts w:ascii="Book Antiqua" w:eastAsia="SimSun" w:hAnsi="Book Antiqua" w:cs="Times New Roman"/>
        </w:rPr>
      </w:pPr>
      <w:r w:rsidRPr="00EC2B08">
        <w:rPr>
          <w:rFonts w:ascii="Book Antiqua" w:eastAsia="SimSun" w:hAnsi="Book Antiqua" w:cs="Times New Roman"/>
        </w:rPr>
        <w:t>The Meeting may wish to invite member States to adopt the revised draft NEASPEC Strategic Plan 2021-2025, and to raise the level of ambition and scale up support in operationalizing the NEASPEC Strategic Plan to deliver tangible results</w:t>
      </w:r>
      <w:r>
        <w:rPr>
          <w:rFonts w:ascii="Book Antiqua" w:eastAsia="SimSun" w:hAnsi="Book Antiqua" w:cs="Times New Roman"/>
        </w:rPr>
        <w:t>.</w:t>
      </w:r>
    </w:p>
    <w:p w14:paraId="6345C1F2" w14:textId="062E50F0" w:rsidR="00C67FAD" w:rsidRDefault="00C67FAD" w:rsidP="00203C9F">
      <w:pPr>
        <w:rPr>
          <w:rFonts w:ascii="Book Antiqua" w:hAnsi="Book Antiqua" w:cstheme="minorHAnsi"/>
          <w:b/>
          <w:u w:val="single"/>
        </w:rPr>
      </w:pPr>
    </w:p>
    <w:p w14:paraId="337C7F7A" w14:textId="689B135F" w:rsidR="00C67FAD" w:rsidRPr="00D9682B" w:rsidRDefault="00D431B4" w:rsidP="00D9682B">
      <w:pPr>
        <w:jc w:val="center"/>
        <w:rPr>
          <w:rFonts w:ascii="Book Antiqua" w:hAnsi="Book Antiqua" w:cstheme="minorHAnsi"/>
          <w:b/>
        </w:rPr>
      </w:pPr>
      <w:r w:rsidRPr="0008578A">
        <w:rPr>
          <w:rFonts w:ascii="Book Antiqua" w:hAnsi="Book Antiqua" w:cstheme="minorHAnsi"/>
          <w:b/>
        </w:rPr>
        <w:t>……..</w:t>
      </w:r>
    </w:p>
    <w:sectPr w:rsidR="00C67FAD" w:rsidRPr="00D9682B" w:rsidSect="00203C9F">
      <w:footerReference w:type="default" r:id="rId17"/>
      <w:pgSz w:w="12240" w:h="15840"/>
      <w:pgMar w:top="1526" w:right="1411" w:bottom="1195"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8B135" w14:textId="77777777" w:rsidR="00286FC0" w:rsidRDefault="00286FC0" w:rsidP="00AC2C09">
      <w:pPr>
        <w:spacing w:after="0" w:line="240" w:lineRule="auto"/>
      </w:pPr>
      <w:r>
        <w:separator/>
      </w:r>
    </w:p>
  </w:endnote>
  <w:endnote w:type="continuationSeparator" w:id="0">
    <w:p w14:paraId="27A8054F" w14:textId="77777777" w:rsidR="00286FC0" w:rsidRDefault="00286FC0" w:rsidP="00AC2C09">
      <w:pPr>
        <w:spacing w:after="0" w:line="240" w:lineRule="auto"/>
      </w:pPr>
      <w:r>
        <w:continuationSeparator/>
      </w:r>
    </w:p>
  </w:endnote>
  <w:endnote w:type="continuationNotice" w:id="1">
    <w:p w14:paraId="06CADD53" w14:textId="77777777" w:rsidR="00286FC0" w:rsidRDefault="00286F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7718981"/>
      <w:docPartObj>
        <w:docPartGallery w:val="Page Numbers (Bottom of Page)"/>
        <w:docPartUnique/>
      </w:docPartObj>
    </w:sdtPr>
    <w:sdtEndPr>
      <w:rPr>
        <w:noProof/>
      </w:rPr>
    </w:sdtEndPr>
    <w:sdtContent>
      <w:p w14:paraId="77D4D2A6" w14:textId="77777777" w:rsidR="006D6B88" w:rsidRDefault="006D6B8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AA22051" w14:textId="77777777" w:rsidR="006D6B88" w:rsidRDefault="006D6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89053" w14:textId="77777777" w:rsidR="00286FC0" w:rsidRDefault="00286FC0" w:rsidP="00AC2C09">
      <w:pPr>
        <w:spacing w:after="0" w:line="240" w:lineRule="auto"/>
      </w:pPr>
      <w:r>
        <w:separator/>
      </w:r>
    </w:p>
  </w:footnote>
  <w:footnote w:type="continuationSeparator" w:id="0">
    <w:p w14:paraId="33196271" w14:textId="77777777" w:rsidR="00286FC0" w:rsidRDefault="00286FC0" w:rsidP="00AC2C09">
      <w:pPr>
        <w:spacing w:after="0" w:line="240" w:lineRule="auto"/>
      </w:pPr>
      <w:r>
        <w:continuationSeparator/>
      </w:r>
    </w:p>
  </w:footnote>
  <w:footnote w:type="continuationNotice" w:id="1">
    <w:p w14:paraId="5A7CFC0F" w14:textId="77777777" w:rsidR="00286FC0" w:rsidRDefault="00286FC0">
      <w:pPr>
        <w:spacing w:after="0" w:line="240" w:lineRule="auto"/>
      </w:pPr>
    </w:p>
  </w:footnote>
  <w:footnote w:id="2">
    <w:p w14:paraId="76971664" w14:textId="77777777" w:rsidR="00D431B4" w:rsidRDefault="00D431B4" w:rsidP="00D431B4">
      <w:pPr>
        <w:pStyle w:val="FootnoteText"/>
        <w:rPr>
          <w:lang w:eastAsia="ko-KR"/>
        </w:rPr>
      </w:pPr>
      <w:r>
        <w:rPr>
          <w:rStyle w:val="FootnoteReference"/>
        </w:rPr>
        <w:footnoteRef/>
      </w:r>
      <w:r>
        <w:t xml:space="preserve"> </w:t>
      </w:r>
      <w:r>
        <w:rPr>
          <w:lang w:eastAsia="ko-KR"/>
        </w:rPr>
        <w:t>Ministry of Ecology and Environment of China, 2019. Chia Air Quality Improvement Report (2013-2018)</w:t>
      </w:r>
    </w:p>
  </w:footnote>
  <w:footnote w:id="3">
    <w:p w14:paraId="1D42E9F9" w14:textId="77777777" w:rsidR="00D431B4" w:rsidRDefault="00D431B4" w:rsidP="00D431B4">
      <w:pPr>
        <w:pStyle w:val="FootnoteText"/>
        <w:rPr>
          <w:lang w:eastAsia="ko-KR"/>
        </w:rPr>
      </w:pPr>
      <w:r>
        <w:rPr>
          <w:rStyle w:val="FootnoteReference"/>
        </w:rPr>
        <w:footnoteRef/>
      </w:r>
      <w:r>
        <w:t xml:space="preserve"> </w:t>
      </w:r>
      <w:r>
        <w:rPr>
          <w:rFonts w:hint="eastAsia"/>
          <w:lang w:eastAsia="ko-KR"/>
        </w:rPr>
        <w:t>M</w:t>
      </w:r>
      <w:r>
        <w:rPr>
          <w:lang w:eastAsia="ko-KR"/>
        </w:rPr>
        <w:t>inistry of Foreign Affairs of Mongolia, 2020. Communication with the NEASPEC Secretariat</w:t>
      </w:r>
    </w:p>
  </w:footnote>
  <w:footnote w:id="4">
    <w:p w14:paraId="2B16C1D0" w14:textId="77777777" w:rsidR="00D431B4" w:rsidRDefault="00D431B4" w:rsidP="00D431B4">
      <w:pPr>
        <w:pStyle w:val="FootnoteText"/>
        <w:rPr>
          <w:lang w:eastAsia="ko-KR"/>
        </w:rPr>
      </w:pPr>
      <w:r>
        <w:rPr>
          <w:rStyle w:val="FootnoteReference"/>
        </w:rPr>
        <w:footnoteRef/>
      </w:r>
      <w:r>
        <w:t xml:space="preserve"> Ministry of Environment, ROK, 2019. Comprehensive Plan for the Management of the Particulate Matter (2020-2024)</w:t>
      </w:r>
    </w:p>
  </w:footnote>
  <w:footnote w:id="5">
    <w:p w14:paraId="2315FF90" w14:textId="77777777" w:rsidR="00D431B4" w:rsidRDefault="00D431B4" w:rsidP="00D431B4">
      <w:pPr>
        <w:pStyle w:val="FootnoteText"/>
      </w:pPr>
      <w:r>
        <w:rPr>
          <w:rStyle w:val="FootnoteReference"/>
        </w:rPr>
        <w:footnoteRef/>
      </w:r>
      <w:r>
        <w:t xml:space="preserve"> https://www.unescap.org/commission/75/document/E75_Res4E.pdf</w:t>
      </w:r>
    </w:p>
  </w:footnote>
  <w:footnote w:id="6">
    <w:p w14:paraId="1DF9F73B" w14:textId="77777777" w:rsidR="00D431B4" w:rsidRDefault="00D431B4" w:rsidP="00D431B4">
      <w:pPr>
        <w:pStyle w:val="FootnoteText"/>
        <w:rPr>
          <w:lang w:eastAsia="ko-KR"/>
        </w:rPr>
      </w:pPr>
      <w:r>
        <w:rPr>
          <w:rStyle w:val="FootnoteReference"/>
        </w:rPr>
        <w:footnoteRef/>
      </w:r>
      <w:r>
        <w:t xml:space="preserve"> North-East Asia in t</w:t>
      </w:r>
      <w:r>
        <w:rPr>
          <w:lang w:eastAsia="ko-KR"/>
        </w:rPr>
        <w:t xml:space="preserve">he IPBES assessment does not include the Russian Federation, but all other five countries.   </w:t>
      </w:r>
    </w:p>
  </w:footnote>
  <w:footnote w:id="7">
    <w:p w14:paraId="198E4397" w14:textId="77777777" w:rsidR="00D431B4" w:rsidRDefault="00D431B4" w:rsidP="00D431B4">
      <w:pPr>
        <w:pStyle w:val="FootnoteText"/>
        <w:rPr>
          <w:lang w:eastAsia="ko-KR"/>
        </w:rPr>
      </w:pPr>
      <w:r>
        <w:rPr>
          <w:rStyle w:val="FootnoteReference"/>
        </w:rPr>
        <w:footnoteRef/>
      </w:r>
      <w:r>
        <w:t xml:space="preserve"> </w:t>
      </w:r>
      <w:r>
        <w:rPr>
          <w:lang w:eastAsia="ko-KR"/>
        </w:rPr>
        <w:t xml:space="preserve">Chen, et.al, 2019. China and India lead in greening of the world through land-use management, </w:t>
      </w:r>
      <w:r>
        <w:rPr>
          <w:i/>
          <w:iCs/>
          <w:lang w:eastAsia="ko-KR"/>
        </w:rPr>
        <w:t>Nature Sustainability</w:t>
      </w:r>
      <w:r>
        <w:rPr>
          <w:lang w:eastAsia="ko-KR"/>
        </w:rPr>
        <w:t>, 2, 122–129</w:t>
      </w:r>
    </w:p>
  </w:footnote>
  <w:footnote w:id="8">
    <w:p w14:paraId="01C3B154" w14:textId="77777777" w:rsidR="00D431B4" w:rsidRDefault="00D431B4" w:rsidP="00D431B4">
      <w:pPr>
        <w:pStyle w:val="FootnoteText"/>
        <w:rPr>
          <w:lang w:eastAsia="ko-KR"/>
        </w:rPr>
      </w:pPr>
      <w:r>
        <w:rPr>
          <w:rStyle w:val="FootnoteReference"/>
        </w:rPr>
        <w:footnoteRef/>
      </w:r>
      <w:r>
        <w:t xml:space="preserve"> </w:t>
      </w:r>
      <w:r>
        <w:rPr>
          <w:lang w:eastAsia="ko-KR"/>
        </w:rPr>
        <w:t>IPBES, 2018.</w:t>
      </w:r>
      <w:r>
        <w:t xml:space="preserve"> </w:t>
      </w:r>
      <w:r>
        <w:rPr>
          <w:lang w:eastAsia="ko-KR"/>
        </w:rPr>
        <w:t>Regional Assessment Report on Biodiversity and Ecosystem Services for Asia and the Pacific</w:t>
      </w:r>
    </w:p>
  </w:footnote>
  <w:footnote w:id="9">
    <w:p w14:paraId="4B76A334" w14:textId="77777777" w:rsidR="00D431B4" w:rsidRDefault="00D431B4" w:rsidP="00D431B4">
      <w:pPr>
        <w:pStyle w:val="FootnoteText"/>
        <w:rPr>
          <w:lang w:eastAsia="ko-KR"/>
        </w:rPr>
      </w:pPr>
      <w:r>
        <w:rPr>
          <w:rStyle w:val="FootnoteReference"/>
        </w:rPr>
        <w:footnoteRef/>
      </w:r>
      <w:r>
        <w:t xml:space="preserve"> </w:t>
      </w:r>
      <w:r>
        <w:rPr>
          <w:rFonts w:hint="eastAsia"/>
          <w:lang w:eastAsia="ko-KR"/>
        </w:rPr>
        <w:t>I</w:t>
      </w:r>
      <w:r>
        <w:rPr>
          <w:lang w:eastAsia="ko-KR"/>
        </w:rPr>
        <w:t xml:space="preserve">UCN, 2020. Threatened species in each country </w:t>
      </w:r>
    </w:p>
    <w:p w14:paraId="215FEADF" w14:textId="77777777" w:rsidR="00D431B4" w:rsidRDefault="00EA0CEA" w:rsidP="00D431B4">
      <w:pPr>
        <w:pStyle w:val="FootnoteText"/>
        <w:rPr>
          <w:lang w:eastAsia="ko-KR"/>
        </w:rPr>
      </w:pPr>
      <w:hyperlink r:id="rId1" w:anchor="Summary%20Tables" w:history="1">
        <w:r w:rsidR="00D431B4">
          <w:rPr>
            <w:rStyle w:val="Hyperlink"/>
            <w:lang w:eastAsia="ko-KR"/>
          </w:rPr>
          <w:t>https://www.iucnredlist.org/resources/summary-statistics#Summary%20Tables</w:t>
        </w:r>
      </w:hyperlink>
      <w:r w:rsidR="00D431B4">
        <w:rPr>
          <w:lang w:eastAsia="ko-KR"/>
        </w:rPr>
        <w:t xml:space="preserve"> </w:t>
      </w:r>
    </w:p>
  </w:footnote>
  <w:footnote w:id="10">
    <w:p w14:paraId="77C2237B" w14:textId="77777777" w:rsidR="00D431B4" w:rsidRDefault="00D431B4" w:rsidP="00D431B4">
      <w:pPr>
        <w:pStyle w:val="FootnoteText"/>
      </w:pPr>
      <w:r>
        <w:rPr>
          <w:rStyle w:val="FootnoteReference"/>
        </w:rPr>
        <w:footnoteRef/>
      </w:r>
      <w:r>
        <w:t xml:space="preserve"> </w:t>
      </w:r>
      <w:hyperlink r:id="rId2" w:history="1">
        <w:r>
          <w:rPr>
            <w:rStyle w:val="Hyperlink"/>
          </w:rPr>
          <w:t>http://www.neaspec.org/sites/default/files/Publication_SavingNatureConservation_2.pdf</w:t>
        </w:r>
      </w:hyperlink>
      <w:r>
        <w:t xml:space="preserve"> </w:t>
      </w:r>
    </w:p>
  </w:footnote>
  <w:footnote w:id="11">
    <w:p w14:paraId="6DD827E8" w14:textId="77777777" w:rsidR="00D431B4" w:rsidRDefault="00D431B4" w:rsidP="00D431B4">
      <w:pPr>
        <w:pStyle w:val="FootnoteText"/>
        <w:contextualSpacing/>
        <w:rPr>
          <w:rFonts w:eastAsiaTheme="minorEastAsia"/>
          <w:lang w:eastAsia="zh-CN"/>
        </w:rPr>
      </w:pPr>
      <w:r>
        <w:rPr>
          <w:rStyle w:val="FootnoteReference"/>
        </w:rPr>
        <w:footnoteRef/>
      </w:r>
      <w:r>
        <w:t xml:space="preserve"> </w:t>
      </w:r>
      <w:hyperlink r:id="rId3" w:history="1">
        <w:r>
          <w:rPr>
            <w:rStyle w:val="Hyperlink"/>
          </w:rPr>
          <w:t>https://www.cbd.int/doc/c/efb0/1f84/a892b98d2982a829962b6371/wg2020-02-03-en.pdf</w:t>
        </w:r>
      </w:hyperlink>
    </w:p>
  </w:footnote>
  <w:footnote w:id="12">
    <w:p w14:paraId="187FE3CC" w14:textId="77777777" w:rsidR="00D431B4" w:rsidRDefault="00D431B4" w:rsidP="00D431B4">
      <w:pPr>
        <w:pStyle w:val="FootnoteText"/>
        <w:contextualSpacing/>
        <w:jc w:val="left"/>
      </w:pPr>
      <w:r>
        <w:rPr>
          <w:rStyle w:val="FootnoteReference"/>
        </w:rPr>
        <w:footnoteRef/>
      </w:r>
      <w:r>
        <w:t xml:space="preserve"> The COP, by its decision 1/CP 21, paragraph 35, invited Parties to communicate, by 2020, to the secretariat mid-century, long-term low greenhouse gas emission development strategies in accordance with Article 4, paragraph 19, of the Paris Agreement. See </w:t>
      </w:r>
      <w:hyperlink r:id="rId4" w:history="1">
        <w:r>
          <w:rPr>
            <w:rStyle w:val="Hyperlink"/>
          </w:rPr>
          <w:t>https://unfccc.int/process/the-paris-agreement/long-term-strategies</w:t>
        </w:r>
      </w:hyperlink>
      <w:r>
        <w:t xml:space="preserve">. </w:t>
      </w:r>
    </w:p>
  </w:footnote>
  <w:footnote w:id="13">
    <w:p w14:paraId="7D52CDF7" w14:textId="77777777" w:rsidR="00D431B4" w:rsidRDefault="00D431B4" w:rsidP="00D431B4">
      <w:pPr>
        <w:pStyle w:val="FootnoteText"/>
        <w:contextualSpacing/>
        <w:jc w:val="left"/>
        <w:rPr>
          <w:rFonts w:eastAsiaTheme="minorEastAsia"/>
          <w:lang w:eastAsia="zh-CN"/>
        </w:rPr>
      </w:pPr>
      <w:r>
        <w:rPr>
          <w:rStyle w:val="FootnoteReference"/>
        </w:rPr>
        <w:footnoteRef/>
      </w:r>
      <w:r>
        <w:t xml:space="preserve"> Japan submitted “The Long-term Strategy under the Paris Agreement” in June 2019, </w:t>
      </w:r>
      <w:hyperlink r:id="rId5" w:history="1">
        <w:r>
          <w:rPr>
            <w:rStyle w:val="Hyperlink"/>
          </w:rPr>
          <w:t>https://unfccc.int/sites/default/files/resource/The%20Long-term%20Strategy%20under%20the%20Paris%20Agreement.pdf</w:t>
        </w:r>
      </w:hyperlink>
    </w:p>
  </w:footnote>
  <w:footnote w:id="14">
    <w:p w14:paraId="553D3735" w14:textId="77777777" w:rsidR="00D9682B" w:rsidRDefault="00D9682B" w:rsidP="00D9682B">
      <w:pPr>
        <w:pStyle w:val="FootnoteText"/>
      </w:pPr>
      <w:r>
        <w:rPr>
          <w:rStyle w:val="FootnoteReference"/>
        </w:rPr>
        <w:footnoteRef/>
      </w:r>
      <w:r>
        <w:t xml:space="preserve"> The 22</w:t>
      </w:r>
      <w:r>
        <w:rPr>
          <w:vertAlign w:val="superscript"/>
        </w:rPr>
        <w:t>nd</w:t>
      </w:r>
      <w:r>
        <w:t xml:space="preserve"> and 23</w:t>
      </w:r>
      <w:r>
        <w:rPr>
          <w:vertAlign w:val="superscript"/>
        </w:rPr>
        <w:t>rd</w:t>
      </w:r>
      <w:r>
        <w:t xml:space="preserve"> SOMs reviewed the existing work of NEASPEC on desertification and land degradation and relevant intergovernmental process in the subregion. The SOMs decided to refocus the work by addressing the interlinkage with climate change,   </w:t>
      </w:r>
    </w:p>
  </w:footnote>
  <w:footnote w:id="15">
    <w:p w14:paraId="62BF536E" w14:textId="77777777" w:rsidR="00D431B4" w:rsidRDefault="00D431B4" w:rsidP="00D431B4">
      <w:pPr>
        <w:pStyle w:val="FootnoteText"/>
      </w:pPr>
      <w:r>
        <w:rPr>
          <w:rStyle w:val="FootnoteReference"/>
        </w:rPr>
        <w:footnoteRef/>
      </w:r>
      <w:r>
        <w:t xml:space="preserve"> “Land degradation” is defined in IPCC SRCCL as a negative trend in land condition, caused by direct or indirect human-induced processes including anthropogenic climate change, expressed as long-term reduction or loss of at least one of the following: biological productivity, ecological integrity or value to humans. The difference between land degradation and desertification is geographic. “Desertification” is land degradation when it occurs in arid, semi-arid, and dry sub-humid areas, collectively known as drylands. Desertification is not the same as the expansion of deserts, also note limited to irreversible forms of land degradation. </w:t>
      </w:r>
    </w:p>
  </w:footnote>
  <w:footnote w:id="16">
    <w:p w14:paraId="60F08963" w14:textId="77777777" w:rsidR="00D431B4" w:rsidRDefault="00D431B4" w:rsidP="00D431B4">
      <w:pPr>
        <w:pStyle w:val="FootnoteText"/>
      </w:pPr>
      <w:r>
        <w:rPr>
          <w:rStyle w:val="FootnoteReference"/>
        </w:rPr>
        <w:footnoteRef/>
      </w:r>
      <w:r>
        <w:t xml:space="preserve"> </w:t>
      </w:r>
      <w:r>
        <w:rPr>
          <w:rFonts w:cs="Arial"/>
        </w:rPr>
        <w:t>Identified by the NEASPEC Nature Conservation Strategy and further consultations by member States.</w:t>
      </w:r>
    </w:p>
  </w:footnote>
  <w:footnote w:id="17">
    <w:p w14:paraId="06D3806C" w14:textId="77777777" w:rsidR="00D431B4" w:rsidRDefault="00D431B4" w:rsidP="00D431B4">
      <w:pPr>
        <w:pStyle w:val="FootnoteText"/>
        <w:rPr>
          <w:lang w:eastAsia="ko-KR"/>
        </w:rPr>
      </w:pPr>
      <w:r>
        <w:rPr>
          <w:rStyle w:val="FootnoteReference"/>
        </w:rPr>
        <w:footnoteRef/>
      </w:r>
      <w:r>
        <w:rPr>
          <w:rFonts w:eastAsia="SimSun"/>
          <w:lang w:eastAsia="zh-CN"/>
        </w:rPr>
        <w:t>Saving the Flagship Species of North-East Asia: Nature Conservation Strategic of NEASPEC, 2007, http://www.neaspec.org/sites/default/files//Publication_SavingNatureConservation_1.pdf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4B14"/>
    <w:multiLevelType w:val="hybridMultilevel"/>
    <w:tmpl w:val="ED1E52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146F1E"/>
    <w:multiLevelType w:val="multilevel"/>
    <w:tmpl w:val="50FEAE5C"/>
    <w:lvl w:ilvl="0">
      <w:start w:val="1"/>
      <w:numFmt w:val="decimal"/>
      <w:lvlText w:val="%1."/>
      <w:lvlJc w:val="left"/>
      <w:pPr>
        <w:ind w:left="1260" w:hanging="360"/>
      </w:pPr>
      <w:rPr>
        <w:rFonts w:hint="default"/>
        <w:b/>
        <w:color w:val="0070C0"/>
        <w:sz w:val="22"/>
        <w:szCs w:val="22"/>
      </w:rPr>
    </w:lvl>
    <w:lvl w:ilvl="1">
      <w:start w:val="1"/>
      <w:numFmt w:val="decimal"/>
      <w:isLgl/>
      <w:lvlText w:val="%1.%2."/>
      <w:lvlJc w:val="left"/>
      <w:pPr>
        <w:ind w:left="1800" w:hanging="720"/>
      </w:pPr>
      <w:rPr>
        <w:rFonts w:hint="default"/>
        <w:b/>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2" w15:restartNumberingAfterBreak="0">
    <w:nsid w:val="12447938"/>
    <w:multiLevelType w:val="hybridMultilevel"/>
    <w:tmpl w:val="4B6CFCB2"/>
    <w:lvl w:ilvl="0" w:tplc="EB68A1F0">
      <w:start w:val="1"/>
      <w:numFmt w:val="upperRoman"/>
      <w:pStyle w:val="TOC2"/>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35519"/>
    <w:multiLevelType w:val="multilevel"/>
    <w:tmpl w:val="1413551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9E059C"/>
    <w:multiLevelType w:val="multilevel"/>
    <w:tmpl w:val="199E059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8811D6B"/>
    <w:multiLevelType w:val="hybridMultilevel"/>
    <w:tmpl w:val="A058D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EC1C6B"/>
    <w:multiLevelType w:val="multilevel"/>
    <w:tmpl w:val="2CEC1C6B"/>
    <w:lvl w:ilvl="0">
      <w:start w:val="1"/>
      <w:numFmt w:val="lowerLetter"/>
      <w:lvlText w:val="(%1)"/>
      <w:lvlJc w:val="left"/>
      <w:pPr>
        <w:ind w:left="720" w:hanging="360"/>
      </w:pPr>
      <w:rPr>
        <w:rFonts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1679FA"/>
    <w:multiLevelType w:val="hybridMultilevel"/>
    <w:tmpl w:val="A520258E"/>
    <w:lvl w:ilvl="0" w:tplc="04090011">
      <w:start w:val="1"/>
      <w:numFmt w:val="decimal"/>
      <w:lvlText w:val="%1)"/>
      <w:lvlJc w:val="left"/>
      <w:pPr>
        <w:ind w:left="360" w:hanging="360"/>
      </w:pPr>
      <w:rPr>
        <w:b/>
        <w:color w:val="auto"/>
        <w:sz w:val="22"/>
        <w:szCs w:val="22"/>
      </w:rPr>
    </w:lvl>
    <w:lvl w:ilvl="1" w:tplc="04090019">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8" w15:restartNumberingAfterBreak="0">
    <w:nsid w:val="44C33480"/>
    <w:multiLevelType w:val="hybridMultilevel"/>
    <w:tmpl w:val="BED6CAB6"/>
    <w:lvl w:ilvl="0" w:tplc="04090001">
      <w:start w:val="1"/>
      <w:numFmt w:val="bullet"/>
      <w:lvlText w:val=""/>
      <w:lvlJc w:val="left"/>
      <w:pPr>
        <w:ind w:left="360" w:hanging="360"/>
      </w:pPr>
      <w:rPr>
        <w:rFonts w:ascii="Symbol" w:hAnsi="Symbol" w:hint="default"/>
        <w:b w:val="0"/>
        <w:color w:val="auto"/>
        <w:sz w:val="22"/>
        <w:szCs w:val="22"/>
      </w:rPr>
    </w:lvl>
    <w:lvl w:ilvl="1" w:tplc="122A1D28">
      <w:start w:val="1"/>
      <w:numFmt w:val="lowerLetter"/>
      <w:lvlText w:val="%2)"/>
      <w:lvlJc w:val="left"/>
      <w:pPr>
        <w:ind w:left="1272" w:hanging="372"/>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8635283"/>
    <w:multiLevelType w:val="hybridMultilevel"/>
    <w:tmpl w:val="686EC7B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722D39"/>
    <w:multiLevelType w:val="hybridMultilevel"/>
    <w:tmpl w:val="85F0BD5C"/>
    <w:lvl w:ilvl="0" w:tplc="83887464">
      <w:start w:val="1"/>
      <w:numFmt w:val="upperRoman"/>
      <w:lvlText w:val="%1."/>
      <w:lvlJc w:val="left"/>
      <w:pPr>
        <w:ind w:left="540" w:hanging="360"/>
      </w:pPr>
      <w:rPr>
        <w:rFonts w:ascii="Book Antiqua" w:eastAsia="SimSun" w:hAnsi="Book Antiqua" w:cs="Times New Roman"/>
        <w:b/>
        <w:color w:val="auto"/>
        <w:sz w:val="22"/>
        <w:szCs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53983812"/>
    <w:multiLevelType w:val="hybridMultilevel"/>
    <w:tmpl w:val="A71A1B34"/>
    <w:lvl w:ilvl="0" w:tplc="A532DECA">
      <w:start w:val="3"/>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ED54E2C"/>
    <w:multiLevelType w:val="hybridMultilevel"/>
    <w:tmpl w:val="8FB0C20E"/>
    <w:lvl w:ilvl="0" w:tplc="F53488BA">
      <w:start w:val="1"/>
      <w:numFmt w:val="decimal"/>
      <w:lvlText w:val="%1."/>
      <w:lvlJc w:val="left"/>
      <w:pPr>
        <w:ind w:left="360" w:hanging="360"/>
      </w:pPr>
      <w:rPr>
        <w:rFonts w:hint="eastAsia"/>
        <w:b w:val="0"/>
        <w:color w:val="auto"/>
        <w:sz w:val="22"/>
        <w:szCs w:val="22"/>
      </w:rPr>
    </w:lvl>
    <w:lvl w:ilvl="1" w:tplc="122A1D28">
      <w:start w:val="1"/>
      <w:numFmt w:val="lowerLetter"/>
      <w:lvlText w:val="%2)"/>
      <w:lvlJc w:val="left"/>
      <w:pPr>
        <w:ind w:left="1272" w:hanging="372"/>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6009764E"/>
    <w:multiLevelType w:val="hybridMultilevel"/>
    <w:tmpl w:val="5E122FAC"/>
    <w:lvl w:ilvl="0" w:tplc="0CB85E92">
      <w:start w:val="2"/>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69C90520"/>
    <w:multiLevelType w:val="multilevel"/>
    <w:tmpl w:val="69C9052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6C80381C"/>
    <w:multiLevelType w:val="multilevel"/>
    <w:tmpl w:val="6C803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EDA65DC"/>
    <w:multiLevelType w:val="hybridMultilevel"/>
    <w:tmpl w:val="0D68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0"/>
  </w:num>
  <w:num w:numId="9">
    <w:abstractNumId w:val="8"/>
  </w:num>
  <w:num w:numId="10">
    <w:abstractNumId w:val="16"/>
  </w:num>
  <w:num w:numId="11">
    <w:abstractNumId w:val="1"/>
  </w:num>
  <w:num w:numId="12">
    <w:abstractNumId w:val="3"/>
  </w:num>
  <w:num w:numId="13">
    <w:abstractNumId w:val="6"/>
  </w:num>
  <w:num w:numId="14">
    <w:abstractNumId w:val="15"/>
  </w:num>
  <w:num w:numId="15">
    <w:abstractNumId w:val="4"/>
  </w:num>
  <w:num w:numId="16">
    <w:abstractNumId w:val="14"/>
  </w:num>
  <w:num w:numId="17">
    <w:abstractNumId w:val="11"/>
  </w:num>
  <w:num w:numId="1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C09"/>
    <w:rsid w:val="00002AD8"/>
    <w:rsid w:val="00010714"/>
    <w:rsid w:val="00011F3F"/>
    <w:rsid w:val="0001256C"/>
    <w:rsid w:val="000150C3"/>
    <w:rsid w:val="000158E1"/>
    <w:rsid w:val="00015CA5"/>
    <w:rsid w:val="00016EA2"/>
    <w:rsid w:val="00024671"/>
    <w:rsid w:val="000266B7"/>
    <w:rsid w:val="00032FCC"/>
    <w:rsid w:val="0003320E"/>
    <w:rsid w:val="00033286"/>
    <w:rsid w:val="00037560"/>
    <w:rsid w:val="000451B4"/>
    <w:rsid w:val="00050527"/>
    <w:rsid w:val="00053C34"/>
    <w:rsid w:val="00054A9B"/>
    <w:rsid w:val="00056EF2"/>
    <w:rsid w:val="00060A1D"/>
    <w:rsid w:val="000645E6"/>
    <w:rsid w:val="00067D33"/>
    <w:rsid w:val="00077854"/>
    <w:rsid w:val="000807BD"/>
    <w:rsid w:val="0008247F"/>
    <w:rsid w:val="000844A8"/>
    <w:rsid w:val="000849AB"/>
    <w:rsid w:val="0008578A"/>
    <w:rsid w:val="0009007B"/>
    <w:rsid w:val="00095499"/>
    <w:rsid w:val="00095D16"/>
    <w:rsid w:val="000B0DB2"/>
    <w:rsid w:val="000B3F63"/>
    <w:rsid w:val="000B65E3"/>
    <w:rsid w:val="000C1003"/>
    <w:rsid w:val="000C2450"/>
    <w:rsid w:val="000C58DC"/>
    <w:rsid w:val="000C7C74"/>
    <w:rsid w:val="000D00F7"/>
    <w:rsid w:val="000D2D50"/>
    <w:rsid w:val="000D61B1"/>
    <w:rsid w:val="000E2323"/>
    <w:rsid w:val="000F2FCC"/>
    <w:rsid w:val="000F560B"/>
    <w:rsid w:val="000F6182"/>
    <w:rsid w:val="001025D8"/>
    <w:rsid w:val="00106209"/>
    <w:rsid w:val="00106789"/>
    <w:rsid w:val="001070F5"/>
    <w:rsid w:val="001079DF"/>
    <w:rsid w:val="0011049E"/>
    <w:rsid w:val="00111EEA"/>
    <w:rsid w:val="0011230B"/>
    <w:rsid w:val="00125586"/>
    <w:rsid w:val="0014127F"/>
    <w:rsid w:val="00141886"/>
    <w:rsid w:val="00141C75"/>
    <w:rsid w:val="00142053"/>
    <w:rsid w:val="001424E0"/>
    <w:rsid w:val="001470FB"/>
    <w:rsid w:val="00152B2A"/>
    <w:rsid w:val="001534EC"/>
    <w:rsid w:val="00157CA6"/>
    <w:rsid w:val="00157D4A"/>
    <w:rsid w:val="001620DF"/>
    <w:rsid w:val="0016331B"/>
    <w:rsid w:val="00163BD3"/>
    <w:rsid w:val="00165947"/>
    <w:rsid w:val="001676ED"/>
    <w:rsid w:val="00181CA5"/>
    <w:rsid w:val="001910B3"/>
    <w:rsid w:val="0019696A"/>
    <w:rsid w:val="00196DB3"/>
    <w:rsid w:val="00197F3D"/>
    <w:rsid w:val="001A1DC3"/>
    <w:rsid w:val="001A1F07"/>
    <w:rsid w:val="001A3238"/>
    <w:rsid w:val="001A3F93"/>
    <w:rsid w:val="001A5B4F"/>
    <w:rsid w:val="001A70CE"/>
    <w:rsid w:val="001B0117"/>
    <w:rsid w:val="001B3A58"/>
    <w:rsid w:val="001B52F7"/>
    <w:rsid w:val="001B53E1"/>
    <w:rsid w:val="001B6668"/>
    <w:rsid w:val="001C1477"/>
    <w:rsid w:val="001C44DD"/>
    <w:rsid w:val="001C71DC"/>
    <w:rsid w:val="001D417A"/>
    <w:rsid w:val="001D7696"/>
    <w:rsid w:val="001E3CD3"/>
    <w:rsid w:val="001E4706"/>
    <w:rsid w:val="001E565C"/>
    <w:rsid w:val="001E77CF"/>
    <w:rsid w:val="001F11D2"/>
    <w:rsid w:val="001F1703"/>
    <w:rsid w:val="001F3A8F"/>
    <w:rsid w:val="001F42E2"/>
    <w:rsid w:val="00201010"/>
    <w:rsid w:val="002020E0"/>
    <w:rsid w:val="00202F2D"/>
    <w:rsid w:val="00203C9F"/>
    <w:rsid w:val="002105B6"/>
    <w:rsid w:val="00213BC2"/>
    <w:rsid w:val="00214172"/>
    <w:rsid w:val="002274AE"/>
    <w:rsid w:val="00241734"/>
    <w:rsid w:val="002417CD"/>
    <w:rsid w:val="002420E1"/>
    <w:rsid w:val="002455A3"/>
    <w:rsid w:val="00250D6D"/>
    <w:rsid w:val="00250E45"/>
    <w:rsid w:val="00260B7A"/>
    <w:rsid w:val="00265103"/>
    <w:rsid w:val="00265D99"/>
    <w:rsid w:val="00272158"/>
    <w:rsid w:val="00275F78"/>
    <w:rsid w:val="00277285"/>
    <w:rsid w:val="0027768E"/>
    <w:rsid w:val="00280D7A"/>
    <w:rsid w:val="002823EB"/>
    <w:rsid w:val="00283536"/>
    <w:rsid w:val="00286FC0"/>
    <w:rsid w:val="00287D31"/>
    <w:rsid w:val="00290472"/>
    <w:rsid w:val="002961C9"/>
    <w:rsid w:val="002A1592"/>
    <w:rsid w:val="002A15CF"/>
    <w:rsid w:val="002A49EC"/>
    <w:rsid w:val="002B0D42"/>
    <w:rsid w:val="002B6DB2"/>
    <w:rsid w:val="002D1FB6"/>
    <w:rsid w:val="002D6351"/>
    <w:rsid w:val="002D66EB"/>
    <w:rsid w:val="002E2B3D"/>
    <w:rsid w:val="002E5596"/>
    <w:rsid w:val="002E6079"/>
    <w:rsid w:val="002E6FB9"/>
    <w:rsid w:val="002F102E"/>
    <w:rsid w:val="002F1467"/>
    <w:rsid w:val="002F30EC"/>
    <w:rsid w:val="002F4D03"/>
    <w:rsid w:val="0030058C"/>
    <w:rsid w:val="00301BE0"/>
    <w:rsid w:val="003066A8"/>
    <w:rsid w:val="00310D58"/>
    <w:rsid w:val="00310FA3"/>
    <w:rsid w:val="0031501D"/>
    <w:rsid w:val="00315BD9"/>
    <w:rsid w:val="0031652E"/>
    <w:rsid w:val="00320953"/>
    <w:rsid w:val="003227F2"/>
    <w:rsid w:val="003252B8"/>
    <w:rsid w:val="00330CAC"/>
    <w:rsid w:val="00331047"/>
    <w:rsid w:val="00334923"/>
    <w:rsid w:val="00337D91"/>
    <w:rsid w:val="003479D5"/>
    <w:rsid w:val="00356C7C"/>
    <w:rsid w:val="00360BE4"/>
    <w:rsid w:val="00361747"/>
    <w:rsid w:val="003701BF"/>
    <w:rsid w:val="003748FC"/>
    <w:rsid w:val="00376171"/>
    <w:rsid w:val="00380463"/>
    <w:rsid w:val="00382C66"/>
    <w:rsid w:val="00384C83"/>
    <w:rsid w:val="0038601D"/>
    <w:rsid w:val="00387AAA"/>
    <w:rsid w:val="00393A5D"/>
    <w:rsid w:val="00396A23"/>
    <w:rsid w:val="003A1371"/>
    <w:rsid w:val="003A2B3C"/>
    <w:rsid w:val="003A3E8E"/>
    <w:rsid w:val="003A5245"/>
    <w:rsid w:val="003A6B4C"/>
    <w:rsid w:val="003B17AC"/>
    <w:rsid w:val="003B60D4"/>
    <w:rsid w:val="003B6122"/>
    <w:rsid w:val="003C161C"/>
    <w:rsid w:val="003C3F70"/>
    <w:rsid w:val="003C487E"/>
    <w:rsid w:val="003D63B8"/>
    <w:rsid w:val="003E5BA5"/>
    <w:rsid w:val="003E5EBE"/>
    <w:rsid w:val="003F144B"/>
    <w:rsid w:val="00401FA3"/>
    <w:rsid w:val="004047F7"/>
    <w:rsid w:val="0040562B"/>
    <w:rsid w:val="004061EF"/>
    <w:rsid w:val="00407DA1"/>
    <w:rsid w:val="00414F56"/>
    <w:rsid w:val="00417C40"/>
    <w:rsid w:val="00424859"/>
    <w:rsid w:val="00427568"/>
    <w:rsid w:val="004317E3"/>
    <w:rsid w:val="004364B6"/>
    <w:rsid w:val="004367E1"/>
    <w:rsid w:val="004517F5"/>
    <w:rsid w:val="004522C8"/>
    <w:rsid w:val="00454930"/>
    <w:rsid w:val="00461BC5"/>
    <w:rsid w:val="00461DAF"/>
    <w:rsid w:val="0046335D"/>
    <w:rsid w:val="00472AC7"/>
    <w:rsid w:val="004737AF"/>
    <w:rsid w:val="00475636"/>
    <w:rsid w:val="00476BB4"/>
    <w:rsid w:val="00477178"/>
    <w:rsid w:val="0048331A"/>
    <w:rsid w:val="00483FDC"/>
    <w:rsid w:val="00484F90"/>
    <w:rsid w:val="00485705"/>
    <w:rsid w:val="00490C39"/>
    <w:rsid w:val="004A1334"/>
    <w:rsid w:val="004A7719"/>
    <w:rsid w:val="004A7908"/>
    <w:rsid w:val="004B1324"/>
    <w:rsid w:val="004B1EDB"/>
    <w:rsid w:val="004B5F5B"/>
    <w:rsid w:val="004B6E00"/>
    <w:rsid w:val="004C1434"/>
    <w:rsid w:val="004C35D7"/>
    <w:rsid w:val="004C6D2F"/>
    <w:rsid w:val="004E2B27"/>
    <w:rsid w:val="004E457A"/>
    <w:rsid w:val="004E7A5B"/>
    <w:rsid w:val="004F0D48"/>
    <w:rsid w:val="004F23A1"/>
    <w:rsid w:val="004F57F4"/>
    <w:rsid w:val="0050190E"/>
    <w:rsid w:val="00507373"/>
    <w:rsid w:val="00507DB9"/>
    <w:rsid w:val="005120D9"/>
    <w:rsid w:val="00516384"/>
    <w:rsid w:val="00520054"/>
    <w:rsid w:val="00520E88"/>
    <w:rsid w:val="00521098"/>
    <w:rsid w:val="005219D1"/>
    <w:rsid w:val="00521CC6"/>
    <w:rsid w:val="005221E0"/>
    <w:rsid w:val="005273B5"/>
    <w:rsid w:val="00530CA7"/>
    <w:rsid w:val="0053736C"/>
    <w:rsid w:val="00537956"/>
    <w:rsid w:val="00540B53"/>
    <w:rsid w:val="005419F7"/>
    <w:rsid w:val="005470B9"/>
    <w:rsid w:val="00563E35"/>
    <w:rsid w:val="005645D9"/>
    <w:rsid w:val="00566E0E"/>
    <w:rsid w:val="00570D20"/>
    <w:rsid w:val="0058034A"/>
    <w:rsid w:val="00583487"/>
    <w:rsid w:val="00585438"/>
    <w:rsid w:val="00586292"/>
    <w:rsid w:val="00596903"/>
    <w:rsid w:val="005A1D52"/>
    <w:rsid w:val="005A502B"/>
    <w:rsid w:val="005B1055"/>
    <w:rsid w:val="005B307D"/>
    <w:rsid w:val="005B6985"/>
    <w:rsid w:val="005B6B64"/>
    <w:rsid w:val="005B7153"/>
    <w:rsid w:val="005D385A"/>
    <w:rsid w:val="005D42CB"/>
    <w:rsid w:val="005D5EC5"/>
    <w:rsid w:val="005E05A9"/>
    <w:rsid w:val="005E38DD"/>
    <w:rsid w:val="005E59EB"/>
    <w:rsid w:val="005E62AE"/>
    <w:rsid w:val="005E7EC0"/>
    <w:rsid w:val="005F0714"/>
    <w:rsid w:val="005F4B52"/>
    <w:rsid w:val="005F5AE0"/>
    <w:rsid w:val="005F778C"/>
    <w:rsid w:val="0060182A"/>
    <w:rsid w:val="00603F41"/>
    <w:rsid w:val="006074E4"/>
    <w:rsid w:val="00611840"/>
    <w:rsid w:val="00616B70"/>
    <w:rsid w:val="00617598"/>
    <w:rsid w:val="00617767"/>
    <w:rsid w:val="00617F4C"/>
    <w:rsid w:val="00623C1C"/>
    <w:rsid w:val="00627C14"/>
    <w:rsid w:val="006349DB"/>
    <w:rsid w:val="006358A8"/>
    <w:rsid w:val="00636072"/>
    <w:rsid w:val="00636221"/>
    <w:rsid w:val="00636A69"/>
    <w:rsid w:val="00644214"/>
    <w:rsid w:val="00650CA0"/>
    <w:rsid w:val="0065359E"/>
    <w:rsid w:val="00662980"/>
    <w:rsid w:val="0067075E"/>
    <w:rsid w:val="00672D51"/>
    <w:rsid w:val="00673442"/>
    <w:rsid w:val="006818DA"/>
    <w:rsid w:val="00682372"/>
    <w:rsid w:val="006A31AB"/>
    <w:rsid w:val="006B016A"/>
    <w:rsid w:val="006B3068"/>
    <w:rsid w:val="006B49A6"/>
    <w:rsid w:val="006B562F"/>
    <w:rsid w:val="006B6120"/>
    <w:rsid w:val="006C0902"/>
    <w:rsid w:val="006D0D29"/>
    <w:rsid w:val="006D1946"/>
    <w:rsid w:val="006D2249"/>
    <w:rsid w:val="006D6B88"/>
    <w:rsid w:val="006E5480"/>
    <w:rsid w:val="006F3B82"/>
    <w:rsid w:val="006F4F59"/>
    <w:rsid w:val="006F6D03"/>
    <w:rsid w:val="0070135E"/>
    <w:rsid w:val="00704B7F"/>
    <w:rsid w:val="00705F0B"/>
    <w:rsid w:val="007060F9"/>
    <w:rsid w:val="00710287"/>
    <w:rsid w:val="00713B41"/>
    <w:rsid w:val="00713C8A"/>
    <w:rsid w:val="00714BF8"/>
    <w:rsid w:val="00717D95"/>
    <w:rsid w:val="0072358F"/>
    <w:rsid w:val="0072621B"/>
    <w:rsid w:val="00730A5B"/>
    <w:rsid w:val="00732A81"/>
    <w:rsid w:val="00733858"/>
    <w:rsid w:val="007372F1"/>
    <w:rsid w:val="007378CF"/>
    <w:rsid w:val="007405ED"/>
    <w:rsid w:val="00746369"/>
    <w:rsid w:val="00750D70"/>
    <w:rsid w:val="007539F0"/>
    <w:rsid w:val="0075591D"/>
    <w:rsid w:val="0075706E"/>
    <w:rsid w:val="0076063C"/>
    <w:rsid w:val="00762E77"/>
    <w:rsid w:val="007656BA"/>
    <w:rsid w:val="00765840"/>
    <w:rsid w:val="007703C8"/>
    <w:rsid w:val="0077238F"/>
    <w:rsid w:val="00774AC8"/>
    <w:rsid w:val="00775A65"/>
    <w:rsid w:val="00780A73"/>
    <w:rsid w:val="00792D31"/>
    <w:rsid w:val="00796E2C"/>
    <w:rsid w:val="007B106E"/>
    <w:rsid w:val="007B6956"/>
    <w:rsid w:val="007C29DD"/>
    <w:rsid w:val="007C3BAC"/>
    <w:rsid w:val="007C503F"/>
    <w:rsid w:val="007C6A27"/>
    <w:rsid w:val="007D1833"/>
    <w:rsid w:val="007D1CA0"/>
    <w:rsid w:val="007D2557"/>
    <w:rsid w:val="007D3ECB"/>
    <w:rsid w:val="007D6488"/>
    <w:rsid w:val="007D7230"/>
    <w:rsid w:val="007D732A"/>
    <w:rsid w:val="007E04C2"/>
    <w:rsid w:val="007E4706"/>
    <w:rsid w:val="007F0D6F"/>
    <w:rsid w:val="0080015A"/>
    <w:rsid w:val="00801025"/>
    <w:rsid w:val="00805140"/>
    <w:rsid w:val="008053EF"/>
    <w:rsid w:val="008064BB"/>
    <w:rsid w:val="0081166E"/>
    <w:rsid w:val="00812819"/>
    <w:rsid w:val="008136BB"/>
    <w:rsid w:val="00831A2F"/>
    <w:rsid w:val="00832A74"/>
    <w:rsid w:val="00833853"/>
    <w:rsid w:val="008358D5"/>
    <w:rsid w:val="00835985"/>
    <w:rsid w:val="00835A3E"/>
    <w:rsid w:val="0083655A"/>
    <w:rsid w:val="008408FB"/>
    <w:rsid w:val="00843764"/>
    <w:rsid w:val="00844723"/>
    <w:rsid w:val="008475F2"/>
    <w:rsid w:val="00850EF0"/>
    <w:rsid w:val="00851AA8"/>
    <w:rsid w:val="008538AF"/>
    <w:rsid w:val="008539B2"/>
    <w:rsid w:val="00853F54"/>
    <w:rsid w:val="0085509F"/>
    <w:rsid w:val="008555C5"/>
    <w:rsid w:val="00862CAE"/>
    <w:rsid w:val="008662D8"/>
    <w:rsid w:val="008671A0"/>
    <w:rsid w:val="00870669"/>
    <w:rsid w:val="00870971"/>
    <w:rsid w:val="008810D4"/>
    <w:rsid w:val="008841CE"/>
    <w:rsid w:val="008870FE"/>
    <w:rsid w:val="008901E3"/>
    <w:rsid w:val="00890F11"/>
    <w:rsid w:val="00892676"/>
    <w:rsid w:val="00897931"/>
    <w:rsid w:val="008A0C86"/>
    <w:rsid w:val="008A12FB"/>
    <w:rsid w:val="008A4E16"/>
    <w:rsid w:val="008A7388"/>
    <w:rsid w:val="008C03BE"/>
    <w:rsid w:val="008C0F72"/>
    <w:rsid w:val="008C3544"/>
    <w:rsid w:val="008C3949"/>
    <w:rsid w:val="008C4BA6"/>
    <w:rsid w:val="008D5FD2"/>
    <w:rsid w:val="008D7AC7"/>
    <w:rsid w:val="008F0631"/>
    <w:rsid w:val="008F33F5"/>
    <w:rsid w:val="008F7D8A"/>
    <w:rsid w:val="00902E06"/>
    <w:rsid w:val="009034C4"/>
    <w:rsid w:val="009056F7"/>
    <w:rsid w:val="0090599B"/>
    <w:rsid w:val="00910193"/>
    <w:rsid w:val="009107E5"/>
    <w:rsid w:val="00923E2E"/>
    <w:rsid w:val="009253FC"/>
    <w:rsid w:val="00926244"/>
    <w:rsid w:val="00926537"/>
    <w:rsid w:val="00934566"/>
    <w:rsid w:val="00937D59"/>
    <w:rsid w:val="009433E8"/>
    <w:rsid w:val="00943D74"/>
    <w:rsid w:val="00944EE1"/>
    <w:rsid w:val="00945B3A"/>
    <w:rsid w:val="00951A2D"/>
    <w:rsid w:val="009603AC"/>
    <w:rsid w:val="0096265D"/>
    <w:rsid w:val="00965EDF"/>
    <w:rsid w:val="009663AC"/>
    <w:rsid w:val="00971226"/>
    <w:rsid w:val="0097134F"/>
    <w:rsid w:val="009726EA"/>
    <w:rsid w:val="009728C4"/>
    <w:rsid w:val="00977E24"/>
    <w:rsid w:val="009849C0"/>
    <w:rsid w:val="00984EC5"/>
    <w:rsid w:val="0098773E"/>
    <w:rsid w:val="00992A95"/>
    <w:rsid w:val="009A0DF2"/>
    <w:rsid w:val="009A261F"/>
    <w:rsid w:val="009A5767"/>
    <w:rsid w:val="009A5F37"/>
    <w:rsid w:val="009B143B"/>
    <w:rsid w:val="009B39FC"/>
    <w:rsid w:val="009C5389"/>
    <w:rsid w:val="009C70F0"/>
    <w:rsid w:val="009D0473"/>
    <w:rsid w:val="009D2440"/>
    <w:rsid w:val="009E3A8B"/>
    <w:rsid w:val="009E4625"/>
    <w:rsid w:val="009E6E36"/>
    <w:rsid w:val="009E7513"/>
    <w:rsid w:val="009F0E8A"/>
    <w:rsid w:val="009F4810"/>
    <w:rsid w:val="009F5E0A"/>
    <w:rsid w:val="00A00A49"/>
    <w:rsid w:val="00A03781"/>
    <w:rsid w:val="00A04461"/>
    <w:rsid w:val="00A069CD"/>
    <w:rsid w:val="00A0757C"/>
    <w:rsid w:val="00A143BE"/>
    <w:rsid w:val="00A16C00"/>
    <w:rsid w:val="00A2541B"/>
    <w:rsid w:val="00A308E9"/>
    <w:rsid w:val="00A30A68"/>
    <w:rsid w:val="00A3254B"/>
    <w:rsid w:val="00A34DAC"/>
    <w:rsid w:val="00A35B4A"/>
    <w:rsid w:val="00A362F7"/>
    <w:rsid w:val="00A413E6"/>
    <w:rsid w:val="00A4240B"/>
    <w:rsid w:val="00A51E5F"/>
    <w:rsid w:val="00A57E73"/>
    <w:rsid w:val="00A71B41"/>
    <w:rsid w:val="00A72A16"/>
    <w:rsid w:val="00A73ED6"/>
    <w:rsid w:val="00A778F7"/>
    <w:rsid w:val="00A80AE7"/>
    <w:rsid w:val="00A81420"/>
    <w:rsid w:val="00A84CF1"/>
    <w:rsid w:val="00A8632D"/>
    <w:rsid w:val="00A87C4F"/>
    <w:rsid w:val="00A9340D"/>
    <w:rsid w:val="00A94728"/>
    <w:rsid w:val="00A9486A"/>
    <w:rsid w:val="00AA1073"/>
    <w:rsid w:val="00AA1628"/>
    <w:rsid w:val="00AA2AA0"/>
    <w:rsid w:val="00AA5C1A"/>
    <w:rsid w:val="00AC062B"/>
    <w:rsid w:val="00AC127B"/>
    <w:rsid w:val="00AC2C09"/>
    <w:rsid w:val="00AC30C8"/>
    <w:rsid w:val="00AC3649"/>
    <w:rsid w:val="00AC6D21"/>
    <w:rsid w:val="00AC6D49"/>
    <w:rsid w:val="00AC7CFC"/>
    <w:rsid w:val="00AE0243"/>
    <w:rsid w:val="00AE258D"/>
    <w:rsid w:val="00AE2ADC"/>
    <w:rsid w:val="00AE738D"/>
    <w:rsid w:val="00AF003E"/>
    <w:rsid w:val="00AF079D"/>
    <w:rsid w:val="00AF239D"/>
    <w:rsid w:val="00AF3544"/>
    <w:rsid w:val="00AF3602"/>
    <w:rsid w:val="00AF36B6"/>
    <w:rsid w:val="00B02592"/>
    <w:rsid w:val="00B02C61"/>
    <w:rsid w:val="00B04EE3"/>
    <w:rsid w:val="00B072AA"/>
    <w:rsid w:val="00B0775A"/>
    <w:rsid w:val="00B152D3"/>
    <w:rsid w:val="00B2133D"/>
    <w:rsid w:val="00B215A3"/>
    <w:rsid w:val="00B241F3"/>
    <w:rsid w:val="00B24247"/>
    <w:rsid w:val="00B27A0B"/>
    <w:rsid w:val="00B30123"/>
    <w:rsid w:val="00B30905"/>
    <w:rsid w:val="00B32BFE"/>
    <w:rsid w:val="00B34A33"/>
    <w:rsid w:val="00B350A8"/>
    <w:rsid w:val="00B41E19"/>
    <w:rsid w:val="00B42EDD"/>
    <w:rsid w:val="00B47EE7"/>
    <w:rsid w:val="00B50C64"/>
    <w:rsid w:val="00B57561"/>
    <w:rsid w:val="00B6161C"/>
    <w:rsid w:val="00B636DA"/>
    <w:rsid w:val="00B65E40"/>
    <w:rsid w:val="00B66CC2"/>
    <w:rsid w:val="00B71940"/>
    <w:rsid w:val="00B73249"/>
    <w:rsid w:val="00B75F11"/>
    <w:rsid w:val="00B767C2"/>
    <w:rsid w:val="00B7683F"/>
    <w:rsid w:val="00B7777A"/>
    <w:rsid w:val="00B81D78"/>
    <w:rsid w:val="00B82164"/>
    <w:rsid w:val="00B83D43"/>
    <w:rsid w:val="00B86285"/>
    <w:rsid w:val="00B87EB0"/>
    <w:rsid w:val="00B94FC3"/>
    <w:rsid w:val="00B95CC4"/>
    <w:rsid w:val="00BA28CB"/>
    <w:rsid w:val="00BA3CC8"/>
    <w:rsid w:val="00BA4D51"/>
    <w:rsid w:val="00BB74CB"/>
    <w:rsid w:val="00BC1E7D"/>
    <w:rsid w:val="00BE011D"/>
    <w:rsid w:val="00BE5570"/>
    <w:rsid w:val="00BE6970"/>
    <w:rsid w:val="00BE7C54"/>
    <w:rsid w:val="00BF1E4E"/>
    <w:rsid w:val="00BF2071"/>
    <w:rsid w:val="00BF2ACA"/>
    <w:rsid w:val="00BF404B"/>
    <w:rsid w:val="00BF4FB0"/>
    <w:rsid w:val="00C00C13"/>
    <w:rsid w:val="00C02D0F"/>
    <w:rsid w:val="00C04BEA"/>
    <w:rsid w:val="00C057FC"/>
    <w:rsid w:val="00C064F3"/>
    <w:rsid w:val="00C1132C"/>
    <w:rsid w:val="00C13873"/>
    <w:rsid w:val="00C16574"/>
    <w:rsid w:val="00C16C61"/>
    <w:rsid w:val="00C1778B"/>
    <w:rsid w:val="00C212FC"/>
    <w:rsid w:val="00C24F30"/>
    <w:rsid w:val="00C253BC"/>
    <w:rsid w:val="00C30A87"/>
    <w:rsid w:val="00C3486F"/>
    <w:rsid w:val="00C379D0"/>
    <w:rsid w:val="00C42C09"/>
    <w:rsid w:val="00C43084"/>
    <w:rsid w:val="00C4470E"/>
    <w:rsid w:val="00C50FD1"/>
    <w:rsid w:val="00C518D6"/>
    <w:rsid w:val="00C52DFA"/>
    <w:rsid w:val="00C541B3"/>
    <w:rsid w:val="00C54B69"/>
    <w:rsid w:val="00C55FFB"/>
    <w:rsid w:val="00C561D2"/>
    <w:rsid w:val="00C56E94"/>
    <w:rsid w:val="00C64507"/>
    <w:rsid w:val="00C67F8A"/>
    <w:rsid w:val="00C67FAD"/>
    <w:rsid w:val="00C73B05"/>
    <w:rsid w:val="00C7751D"/>
    <w:rsid w:val="00C94DAD"/>
    <w:rsid w:val="00C951BD"/>
    <w:rsid w:val="00C95DC5"/>
    <w:rsid w:val="00C9621A"/>
    <w:rsid w:val="00C96BEA"/>
    <w:rsid w:val="00C97266"/>
    <w:rsid w:val="00CA56F0"/>
    <w:rsid w:val="00CA61DC"/>
    <w:rsid w:val="00CA6BAF"/>
    <w:rsid w:val="00CB043F"/>
    <w:rsid w:val="00CB3751"/>
    <w:rsid w:val="00CB6B4F"/>
    <w:rsid w:val="00CB7196"/>
    <w:rsid w:val="00CC0E5E"/>
    <w:rsid w:val="00CC5373"/>
    <w:rsid w:val="00CC592D"/>
    <w:rsid w:val="00CC78E5"/>
    <w:rsid w:val="00CD1CE0"/>
    <w:rsid w:val="00CD291E"/>
    <w:rsid w:val="00CD3083"/>
    <w:rsid w:val="00CD3ED3"/>
    <w:rsid w:val="00CD53AA"/>
    <w:rsid w:val="00CD7942"/>
    <w:rsid w:val="00CF03D2"/>
    <w:rsid w:val="00CF1740"/>
    <w:rsid w:val="00CF50B8"/>
    <w:rsid w:val="00D00964"/>
    <w:rsid w:val="00D00A04"/>
    <w:rsid w:val="00D06F6E"/>
    <w:rsid w:val="00D10E8D"/>
    <w:rsid w:val="00D13CD6"/>
    <w:rsid w:val="00D16D32"/>
    <w:rsid w:val="00D172DC"/>
    <w:rsid w:val="00D240B1"/>
    <w:rsid w:val="00D2534D"/>
    <w:rsid w:val="00D26F0D"/>
    <w:rsid w:val="00D30AAD"/>
    <w:rsid w:val="00D34242"/>
    <w:rsid w:val="00D40891"/>
    <w:rsid w:val="00D431B4"/>
    <w:rsid w:val="00D44CC3"/>
    <w:rsid w:val="00D45EEA"/>
    <w:rsid w:val="00D46585"/>
    <w:rsid w:val="00D51707"/>
    <w:rsid w:val="00D547C1"/>
    <w:rsid w:val="00D55ED9"/>
    <w:rsid w:val="00D563A8"/>
    <w:rsid w:val="00D56F4F"/>
    <w:rsid w:val="00D6133C"/>
    <w:rsid w:val="00D61C4A"/>
    <w:rsid w:val="00D62F47"/>
    <w:rsid w:val="00D709C3"/>
    <w:rsid w:val="00D7567A"/>
    <w:rsid w:val="00D8075D"/>
    <w:rsid w:val="00D80938"/>
    <w:rsid w:val="00D83641"/>
    <w:rsid w:val="00D84A59"/>
    <w:rsid w:val="00D86B02"/>
    <w:rsid w:val="00D91402"/>
    <w:rsid w:val="00D9682B"/>
    <w:rsid w:val="00D973FB"/>
    <w:rsid w:val="00D97653"/>
    <w:rsid w:val="00DA18F8"/>
    <w:rsid w:val="00DA2F4B"/>
    <w:rsid w:val="00DA45F6"/>
    <w:rsid w:val="00DA4E12"/>
    <w:rsid w:val="00DB3D6F"/>
    <w:rsid w:val="00DC0724"/>
    <w:rsid w:val="00DC29F5"/>
    <w:rsid w:val="00DC76B7"/>
    <w:rsid w:val="00DD0A35"/>
    <w:rsid w:val="00DD14F3"/>
    <w:rsid w:val="00DD4597"/>
    <w:rsid w:val="00DD598B"/>
    <w:rsid w:val="00DD656B"/>
    <w:rsid w:val="00DD6855"/>
    <w:rsid w:val="00DD6FC5"/>
    <w:rsid w:val="00DE28E3"/>
    <w:rsid w:val="00DE395B"/>
    <w:rsid w:val="00DE459F"/>
    <w:rsid w:val="00DE7E60"/>
    <w:rsid w:val="00DF158B"/>
    <w:rsid w:val="00DF7AA2"/>
    <w:rsid w:val="00E01685"/>
    <w:rsid w:val="00E108C6"/>
    <w:rsid w:val="00E121AD"/>
    <w:rsid w:val="00E21CA9"/>
    <w:rsid w:val="00E258C1"/>
    <w:rsid w:val="00E26F40"/>
    <w:rsid w:val="00E32408"/>
    <w:rsid w:val="00E32468"/>
    <w:rsid w:val="00E347EB"/>
    <w:rsid w:val="00E3586D"/>
    <w:rsid w:val="00E35E47"/>
    <w:rsid w:val="00E3741A"/>
    <w:rsid w:val="00E46843"/>
    <w:rsid w:val="00E47FCD"/>
    <w:rsid w:val="00E51AF8"/>
    <w:rsid w:val="00E53007"/>
    <w:rsid w:val="00E5645C"/>
    <w:rsid w:val="00E715AE"/>
    <w:rsid w:val="00E7589D"/>
    <w:rsid w:val="00E80FEA"/>
    <w:rsid w:val="00E82267"/>
    <w:rsid w:val="00E86C16"/>
    <w:rsid w:val="00E8793C"/>
    <w:rsid w:val="00E91445"/>
    <w:rsid w:val="00E92B47"/>
    <w:rsid w:val="00E92F3D"/>
    <w:rsid w:val="00E94ACC"/>
    <w:rsid w:val="00E96C81"/>
    <w:rsid w:val="00EA0CEA"/>
    <w:rsid w:val="00EA4973"/>
    <w:rsid w:val="00EA667A"/>
    <w:rsid w:val="00EA7A44"/>
    <w:rsid w:val="00EB4E96"/>
    <w:rsid w:val="00EB7CDE"/>
    <w:rsid w:val="00EC2B08"/>
    <w:rsid w:val="00ED2795"/>
    <w:rsid w:val="00ED3CEF"/>
    <w:rsid w:val="00ED4776"/>
    <w:rsid w:val="00ED5537"/>
    <w:rsid w:val="00EE295B"/>
    <w:rsid w:val="00EE30CF"/>
    <w:rsid w:val="00EE466C"/>
    <w:rsid w:val="00EE5C86"/>
    <w:rsid w:val="00EF13E4"/>
    <w:rsid w:val="00EF3FF8"/>
    <w:rsid w:val="00EF7627"/>
    <w:rsid w:val="00EF7CC1"/>
    <w:rsid w:val="00F0132C"/>
    <w:rsid w:val="00F069DA"/>
    <w:rsid w:val="00F20602"/>
    <w:rsid w:val="00F2167B"/>
    <w:rsid w:val="00F2327E"/>
    <w:rsid w:val="00F2422F"/>
    <w:rsid w:val="00F259DC"/>
    <w:rsid w:val="00F32FA0"/>
    <w:rsid w:val="00F35271"/>
    <w:rsid w:val="00F36F3D"/>
    <w:rsid w:val="00F37687"/>
    <w:rsid w:val="00F40BF1"/>
    <w:rsid w:val="00F4434A"/>
    <w:rsid w:val="00F45E74"/>
    <w:rsid w:val="00F553F9"/>
    <w:rsid w:val="00F57069"/>
    <w:rsid w:val="00F60FF6"/>
    <w:rsid w:val="00F6514D"/>
    <w:rsid w:val="00F66405"/>
    <w:rsid w:val="00F73B01"/>
    <w:rsid w:val="00F86268"/>
    <w:rsid w:val="00F9090D"/>
    <w:rsid w:val="00F937A7"/>
    <w:rsid w:val="00F93830"/>
    <w:rsid w:val="00F9751A"/>
    <w:rsid w:val="00F979CA"/>
    <w:rsid w:val="00FA2533"/>
    <w:rsid w:val="00FA3108"/>
    <w:rsid w:val="00FA4915"/>
    <w:rsid w:val="00FB32BB"/>
    <w:rsid w:val="00FB4F18"/>
    <w:rsid w:val="00FC6091"/>
    <w:rsid w:val="00FC62C9"/>
    <w:rsid w:val="00FC6437"/>
    <w:rsid w:val="00FD3BEA"/>
    <w:rsid w:val="00FD6489"/>
    <w:rsid w:val="00FE3854"/>
    <w:rsid w:val="00FE44BA"/>
    <w:rsid w:val="00FE455A"/>
    <w:rsid w:val="00FE4BA6"/>
    <w:rsid w:val="00FE52DC"/>
    <w:rsid w:val="00FE72D3"/>
    <w:rsid w:val="00FF6232"/>
    <w:rsid w:val="00FF72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4B683D"/>
  <w15:docId w15:val="{EAFBACFC-6BFB-4754-B124-40DFFC81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34A"/>
  </w:style>
  <w:style w:type="paragraph" w:styleId="Heading1">
    <w:name w:val="heading 1"/>
    <w:basedOn w:val="Normal"/>
    <w:next w:val="Normal"/>
    <w:link w:val="Heading1Char"/>
    <w:uiPriority w:val="9"/>
    <w:qFormat/>
    <w:rsid w:val="003748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F33F5"/>
    <w:pPr>
      <w:keepNext/>
      <w:spacing w:before="240" w:after="60" w:line="240" w:lineRule="auto"/>
      <w:outlineLvl w:val="1"/>
    </w:pPr>
    <w:rPr>
      <w:rFonts w:ascii="Arial" w:eastAsia="SimSun" w:hAnsi="Arial" w:cs="Arial"/>
      <w:b/>
      <w:bCs/>
      <w:i/>
      <w:iCs/>
      <w:sz w:val="28"/>
      <w:szCs w:val="28"/>
      <w:lang w:eastAsia="zh-CN"/>
    </w:rPr>
  </w:style>
  <w:style w:type="paragraph" w:styleId="Heading3">
    <w:name w:val="heading 3"/>
    <w:basedOn w:val="Normal"/>
    <w:next w:val="Normal"/>
    <w:link w:val="Heading3Char"/>
    <w:uiPriority w:val="9"/>
    <w:unhideWhenUsed/>
    <w:qFormat/>
    <w:rsid w:val="00382C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AC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C2C09"/>
    <w:pPr>
      <w:ind w:left="720"/>
      <w:contextualSpacing/>
    </w:pPr>
  </w:style>
  <w:style w:type="paragraph" w:styleId="Header">
    <w:name w:val="header"/>
    <w:basedOn w:val="Normal"/>
    <w:link w:val="HeaderChar"/>
    <w:uiPriority w:val="99"/>
    <w:unhideWhenUsed/>
    <w:rsid w:val="00AC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C09"/>
  </w:style>
  <w:style w:type="paragraph" w:styleId="Footer">
    <w:name w:val="footer"/>
    <w:basedOn w:val="Normal"/>
    <w:link w:val="FooterChar"/>
    <w:uiPriority w:val="99"/>
    <w:unhideWhenUsed/>
    <w:rsid w:val="00AC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C09"/>
  </w:style>
  <w:style w:type="paragraph" w:styleId="BalloonText">
    <w:name w:val="Balloon Text"/>
    <w:basedOn w:val="Normal"/>
    <w:link w:val="BalloonTextChar"/>
    <w:uiPriority w:val="99"/>
    <w:semiHidden/>
    <w:unhideWhenUsed/>
    <w:rsid w:val="00EA6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67A"/>
    <w:rPr>
      <w:rFonts w:ascii="Tahoma" w:hAnsi="Tahoma" w:cs="Tahoma"/>
      <w:sz w:val="16"/>
      <w:szCs w:val="16"/>
    </w:rPr>
  </w:style>
  <w:style w:type="character" w:styleId="CommentReference">
    <w:name w:val="annotation reference"/>
    <w:basedOn w:val="DefaultParagraphFont"/>
    <w:uiPriority w:val="99"/>
    <w:semiHidden/>
    <w:unhideWhenUsed/>
    <w:rsid w:val="00EA667A"/>
    <w:rPr>
      <w:sz w:val="16"/>
      <w:szCs w:val="16"/>
    </w:rPr>
  </w:style>
  <w:style w:type="paragraph" w:styleId="CommentText">
    <w:name w:val="annotation text"/>
    <w:basedOn w:val="Normal"/>
    <w:link w:val="CommentTextChar"/>
    <w:uiPriority w:val="99"/>
    <w:semiHidden/>
    <w:unhideWhenUsed/>
    <w:rsid w:val="00EA667A"/>
    <w:pPr>
      <w:spacing w:line="240" w:lineRule="auto"/>
    </w:pPr>
    <w:rPr>
      <w:sz w:val="20"/>
      <w:szCs w:val="20"/>
    </w:rPr>
  </w:style>
  <w:style w:type="character" w:customStyle="1" w:styleId="CommentTextChar">
    <w:name w:val="Comment Text Char"/>
    <w:basedOn w:val="DefaultParagraphFont"/>
    <w:link w:val="CommentText"/>
    <w:uiPriority w:val="99"/>
    <w:semiHidden/>
    <w:rsid w:val="00EA667A"/>
    <w:rPr>
      <w:sz w:val="20"/>
      <w:szCs w:val="20"/>
    </w:rPr>
  </w:style>
  <w:style w:type="paragraph" w:styleId="CommentSubject">
    <w:name w:val="annotation subject"/>
    <w:basedOn w:val="CommentText"/>
    <w:next w:val="CommentText"/>
    <w:link w:val="CommentSubjectChar"/>
    <w:uiPriority w:val="99"/>
    <w:semiHidden/>
    <w:unhideWhenUsed/>
    <w:rsid w:val="00EA667A"/>
    <w:rPr>
      <w:b/>
      <w:bCs/>
    </w:rPr>
  </w:style>
  <w:style w:type="character" w:customStyle="1" w:styleId="CommentSubjectChar">
    <w:name w:val="Comment Subject Char"/>
    <w:basedOn w:val="CommentTextChar"/>
    <w:link w:val="CommentSubject"/>
    <w:uiPriority w:val="99"/>
    <w:semiHidden/>
    <w:rsid w:val="00EA667A"/>
    <w:rPr>
      <w:b/>
      <w:bCs/>
      <w:sz w:val="20"/>
      <w:szCs w:val="20"/>
    </w:rPr>
  </w:style>
  <w:style w:type="paragraph" w:styleId="Revision">
    <w:name w:val="Revision"/>
    <w:hidden/>
    <w:uiPriority w:val="99"/>
    <w:semiHidden/>
    <w:rsid w:val="00EA667A"/>
    <w:pPr>
      <w:spacing w:after="0" w:line="240" w:lineRule="auto"/>
    </w:pPr>
  </w:style>
  <w:style w:type="character" w:customStyle="1" w:styleId="apple-converted-space">
    <w:name w:val="apple-converted-space"/>
    <w:basedOn w:val="DefaultParagraphFont"/>
    <w:rsid w:val="000E2323"/>
  </w:style>
  <w:style w:type="character" w:styleId="FootnoteReference">
    <w:name w:val="footnote reference"/>
    <w:basedOn w:val="DefaultParagraphFont"/>
    <w:uiPriority w:val="99"/>
    <w:qFormat/>
    <w:rsid w:val="00361747"/>
    <w:rPr>
      <w:rFonts w:cs="Times New Roman"/>
      <w:vertAlign w:val="superscript"/>
    </w:rPr>
  </w:style>
  <w:style w:type="paragraph" w:styleId="FootnoteText">
    <w:name w:val="footnote text"/>
    <w:basedOn w:val="Normal"/>
    <w:link w:val="FootnoteTextChar"/>
    <w:uiPriority w:val="99"/>
    <w:qFormat/>
    <w:rsid w:val="00361747"/>
    <w:pPr>
      <w:spacing w:after="0" w:line="240" w:lineRule="auto"/>
      <w:ind w:left="187" w:hanging="187"/>
      <w:jc w:val="both"/>
    </w:pPr>
    <w:rPr>
      <w:rFonts w:ascii="Arial" w:eastAsia="맑은 고딕" w:hAnsi="Arial" w:cs="Times New Roman"/>
      <w:color w:val="000000"/>
      <w:sz w:val="18"/>
      <w:szCs w:val="20"/>
      <w:lang w:eastAsia="en-US"/>
    </w:rPr>
  </w:style>
  <w:style w:type="character" w:customStyle="1" w:styleId="FootnoteTextChar">
    <w:name w:val="Footnote Text Char"/>
    <w:basedOn w:val="DefaultParagraphFont"/>
    <w:link w:val="FootnoteText"/>
    <w:uiPriority w:val="99"/>
    <w:qFormat/>
    <w:rsid w:val="00361747"/>
    <w:rPr>
      <w:rFonts w:ascii="Arial" w:eastAsia="맑은 고딕" w:hAnsi="Arial" w:cs="Times New Roman"/>
      <w:color w:val="000000"/>
      <w:sz w:val="18"/>
      <w:szCs w:val="20"/>
      <w:lang w:eastAsia="en-US"/>
    </w:rPr>
  </w:style>
  <w:style w:type="paragraph" w:styleId="BodyText">
    <w:name w:val="Body Text"/>
    <w:basedOn w:val="Normal"/>
    <w:link w:val="BodyTextChar"/>
    <w:uiPriority w:val="99"/>
    <w:rsid w:val="00851AA8"/>
    <w:pPr>
      <w:spacing w:after="120" w:line="340" w:lineRule="atLeast"/>
      <w:jc w:val="center"/>
    </w:pPr>
    <w:rPr>
      <w:rFonts w:ascii="Times New Roman" w:eastAsia="맑은 고딕" w:hAnsi="Times New Roman" w:cs="Tahoma"/>
      <w:b/>
      <w:bCs/>
      <w:sz w:val="24"/>
      <w:lang w:val="en-GB" w:eastAsia="en-US"/>
    </w:rPr>
  </w:style>
  <w:style w:type="character" w:customStyle="1" w:styleId="BodyTextChar">
    <w:name w:val="Body Text Char"/>
    <w:basedOn w:val="DefaultParagraphFont"/>
    <w:link w:val="BodyText"/>
    <w:uiPriority w:val="99"/>
    <w:rsid w:val="00851AA8"/>
    <w:rPr>
      <w:rFonts w:ascii="Times New Roman" w:eastAsia="맑은 고딕" w:hAnsi="Times New Roman" w:cs="Tahoma"/>
      <w:b/>
      <w:bCs/>
      <w:sz w:val="24"/>
      <w:lang w:val="en-GB" w:eastAsia="en-US"/>
    </w:rPr>
  </w:style>
  <w:style w:type="table" w:styleId="ColorfulList-Accent1">
    <w:name w:val="Colorful List Accent 1"/>
    <w:basedOn w:val="TableNormal"/>
    <w:uiPriority w:val="72"/>
    <w:rsid w:val="00A3254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9A0DF2"/>
    <w:rPr>
      <w:color w:val="0000FF" w:themeColor="hyperlink"/>
      <w:u w:val="single"/>
    </w:rPr>
  </w:style>
  <w:style w:type="character" w:customStyle="1" w:styleId="Heading2Char">
    <w:name w:val="Heading 2 Char"/>
    <w:basedOn w:val="DefaultParagraphFont"/>
    <w:link w:val="Heading2"/>
    <w:uiPriority w:val="99"/>
    <w:rsid w:val="008F33F5"/>
    <w:rPr>
      <w:rFonts w:ascii="Arial" w:eastAsia="SimSun" w:hAnsi="Arial" w:cs="Arial"/>
      <w:b/>
      <w:bCs/>
      <w:i/>
      <w:iCs/>
      <w:sz w:val="28"/>
      <w:szCs w:val="28"/>
      <w:lang w:eastAsia="zh-CN"/>
    </w:rPr>
  </w:style>
  <w:style w:type="paragraph" w:styleId="NoSpacing">
    <w:name w:val="No Spacing"/>
    <w:link w:val="NoSpacingChar"/>
    <w:uiPriority w:val="1"/>
    <w:qFormat/>
    <w:rsid w:val="000F6182"/>
    <w:pPr>
      <w:spacing w:after="0" w:line="240" w:lineRule="auto"/>
    </w:pPr>
    <w:rPr>
      <w:lang w:eastAsia="ja-JP"/>
    </w:rPr>
  </w:style>
  <w:style w:type="character" w:customStyle="1" w:styleId="NoSpacingChar">
    <w:name w:val="No Spacing Char"/>
    <w:basedOn w:val="DefaultParagraphFont"/>
    <w:link w:val="NoSpacing"/>
    <w:uiPriority w:val="1"/>
    <w:rsid w:val="000F6182"/>
    <w:rPr>
      <w:lang w:eastAsia="ja-JP"/>
    </w:rPr>
  </w:style>
  <w:style w:type="paragraph" w:styleId="TOC1">
    <w:name w:val="toc 1"/>
    <w:basedOn w:val="Normal"/>
    <w:next w:val="Normal"/>
    <w:autoRedefine/>
    <w:uiPriority w:val="39"/>
    <w:qFormat/>
    <w:rsid w:val="0077238F"/>
    <w:pPr>
      <w:tabs>
        <w:tab w:val="left" w:pos="480"/>
        <w:tab w:val="right" w:leader="dot" w:pos="8931"/>
      </w:tabs>
      <w:topLinePunct/>
      <w:spacing w:before="120" w:after="0" w:line="240" w:lineRule="atLeast"/>
      <w:jc w:val="both"/>
    </w:pPr>
    <w:rPr>
      <w:rFonts w:ascii="Book Antiqua" w:eastAsia="SimSun" w:hAnsi="Book Antiqua" w:cs="Times New Roman"/>
      <w:caps/>
      <w:noProof/>
      <w:lang w:eastAsia="en-US"/>
    </w:rPr>
  </w:style>
  <w:style w:type="character" w:customStyle="1" w:styleId="Heading1Char">
    <w:name w:val="Heading 1 Char"/>
    <w:basedOn w:val="DefaultParagraphFont"/>
    <w:link w:val="Heading1"/>
    <w:uiPriority w:val="9"/>
    <w:rsid w:val="003748F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748FC"/>
    <w:pPr>
      <w:outlineLvl w:val="9"/>
    </w:pPr>
    <w:rPr>
      <w:lang w:eastAsia="ja-JP"/>
    </w:rPr>
  </w:style>
  <w:style w:type="paragraph" w:styleId="TOC2">
    <w:name w:val="toc 2"/>
    <w:basedOn w:val="Normal"/>
    <w:next w:val="Normal"/>
    <w:autoRedefine/>
    <w:uiPriority w:val="39"/>
    <w:unhideWhenUsed/>
    <w:qFormat/>
    <w:rsid w:val="000B3F63"/>
    <w:pPr>
      <w:numPr>
        <w:numId w:val="2"/>
      </w:numPr>
      <w:spacing w:after="0"/>
    </w:pPr>
    <w:rPr>
      <w:rFonts w:ascii="Book Antiqua" w:hAnsi="Book Antiqua"/>
      <w:b/>
      <w:caps/>
      <w:lang w:eastAsia="ja-JP"/>
    </w:rPr>
  </w:style>
  <w:style w:type="paragraph" w:styleId="TOC3">
    <w:name w:val="toc 3"/>
    <w:basedOn w:val="Normal"/>
    <w:next w:val="Normal"/>
    <w:autoRedefine/>
    <w:uiPriority w:val="39"/>
    <w:unhideWhenUsed/>
    <w:qFormat/>
    <w:rsid w:val="003748FC"/>
    <w:pPr>
      <w:spacing w:after="100"/>
      <w:ind w:left="440"/>
    </w:pPr>
    <w:rPr>
      <w:lang w:eastAsia="ja-JP"/>
    </w:rPr>
  </w:style>
  <w:style w:type="character" w:customStyle="1" w:styleId="Heading3Char">
    <w:name w:val="Heading 3 Char"/>
    <w:basedOn w:val="DefaultParagraphFont"/>
    <w:link w:val="Heading3"/>
    <w:uiPriority w:val="9"/>
    <w:rsid w:val="00382C66"/>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uiPriority w:val="35"/>
    <w:unhideWhenUsed/>
    <w:qFormat/>
    <w:rsid w:val="00AF36B6"/>
    <w:pPr>
      <w:spacing w:line="240" w:lineRule="auto"/>
    </w:pPr>
    <w:rPr>
      <w:i/>
      <w:iCs/>
      <w:color w:val="1F497D" w:themeColor="text2"/>
      <w:sz w:val="18"/>
      <w:szCs w:val="18"/>
    </w:rPr>
  </w:style>
  <w:style w:type="character" w:customStyle="1" w:styleId="ListParagraphChar">
    <w:name w:val="List Paragraph Char"/>
    <w:basedOn w:val="DefaultParagraphFont"/>
    <w:link w:val="ListParagraph"/>
    <w:uiPriority w:val="34"/>
    <w:rsid w:val="001D7696"/>
  </w:style>
  <w:style w:type="paragraph" w:customStyle="1" w:styleId="1">
    <w:name w:val="목록 단락1"/>
    <w:basedOn w:val="Normal"/>
    <w:link w:val="Char"/>
    <w:uiPriority w:val="34"/>
    <w:qFormat/>
    <w:rsid w:val="00D431B4"/>
    <w:pPr>
      <w:ind w:left="720"/>
      <w:contextualSpacing/>
    </w:pPr>
  </w:style>
  <w:style w:type="character" w:customStyle="1" w:styleId="Char">
    <w:name w:val="列出段落 Char"/>
    <w:basedOn w:val="DefaultParagraphFont"/>
    <w:link w:val="1"/>
    <w:uiPriority w:val="34"/>
    <w:qFormat/>
    <w:rsid w:val="00D431B4"/>
  </w:style>
  <w:style w:type="character" w:customStyle="1" w:styleId="normaltextrun">
    <w:name w:val="normaltextrun"/>
    <w:basedOn w:val="DefaultParagraphFont"/>
    <w:qFormat/>
    <w:rsid w:val="00D43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014374">
      <w:bodyDiv w:val="1"/>
      <w:marLeft w:val="0"/>
      <w:marRight w:val="0"/>
      <w:marTop w:val="0"/>
      <w:marBottom w:val="0"/>
      <w:divBdr>
        <w:top w:val="none" w:sz="0" w:space="0" w:color="auto"/>
        <w:left w:val="none" w:sz="0" w:space="0" w:color="auto"/>
        <w:bottom w:val="none" w:sz="0" w:space="0" w:color="auto"/>
        <w:right w:val="none" w:sz="0" w:space="0" w:color="auto"/>
      </w:divBdr>
    </w:div>
    <w:div w:id="1480921786">
      <w:bodyDiv w:val="1"/>
      <w:marLeft w:val="0"/>
      <w:marRight w:val="0"/>
      <w:marTop w:val="0"/>
      <w:marBottom w:val="0"/>
      <w:divBdr>
        <w:top w:val="none" w:sz="0" w:space="0" w:color="auto"/>
        <w:left w:val="none" w:sz="0" w:space="0" w:color="auto"/>
        <w:bottom w:val="none" w:sz="0" w:space="0" w:color="auto"/>
        <w:right w:val="none" w:sz="0" w:space="0" w:color="auto"/>
      </w:divBdr>
    </w:div>
    <w:div w:id="1656568847">
      <w:bodyDiv w:val="1"/>
      <w:marLeft w:val="0"/>
      <w:marRight w:val="0"/>
      <w:marTop w:val="0"/>
      <w:marBottom w:val="0"/>
      <w:divBdr>
        <w:top w:val="none" w:sz="0" w:space="0" w:color="auto"/>
        <w:left w:val="none" w:sz="0" w:space="0" w:color="auto"/>
        <w:bottom w:val="none" w:sz="0" w:space="0" w:color="auto"/>
        <w:right w:val="none" w:sz="0" w:space="0" w:color="auto"/>
      </w:divBdr>
      <w:divsChild>
        <w:div w:id="9995804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https://www4.unfccc.int/sites/NDCStaging/Pages/All.asp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efb0/1f84/a892b98d2982a829962b6371/wg2020-02-03-en.pdf" TargetMode="External"/><Relationship Id="rId2" Type="http://schemas.openxmlformats.org/officeDocument/2006/relationships/hyperlink" Target="http://www.neaspec.org/sites/default/files/Publication_SavingNatureConservation_2.pdf" TargetMode="External"/><Relationship Id="rId1" Type="http://schemas.openxmlformats.org/officeDocument/2006/relationships/hyperlink" Target="https://www.iucnredlist.org/resources/summary-statistics" TargetMode="External"/><Relationship Id="rId5" Type="http://schemas.openxmlformats.org/officeDocument/2006/relationships/hyperlink" Target="https://unfccc.int/sites/default/files/resource/The%20Long-term%20Strategy%20under%20the%20Paris%20Agreement.pdf" TargetMode="External"/><Relationship Id="rId4" Type="http://schemas.openxmlformats.org/officeDocument/2006/relationships/hyperlink" Target="https://unfccc.int/process/the-paris-agreement/long-term-strategies" TargetMode="External"/></Relationships>
</file>

<file path=word/diagrams/colors1.xml><?xml version="1.0" encoding="utf-8"?>
<dgm:colorsDef xmlns:dgm="http://schemas.openxmlformats.org/drawingml/2006/diagram" xmlns:a="http://schemas.openxmlformats.org/drawingml/2006/main" uniqueId="urn:microsoft.com/office/officeart/2005/8/colors/colorful5#4">
  <dgm:title val=""/>
  <dgm:desc val=""/>
  <dgm:catLst>
    <dgm:cat type="colorful" pri="10500"/>
  </dgm:catLst>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6B445CE3-2923-4CA2-B1BD-8A58DAA747A5}" type="doc">
      <dgm:prSet loTypeId="urn:microsoft.com/office/officeart/2005/8/layout/orgChart1#4" loCatId="hierarchy" qsTypeId="urn:microsoft.com/office/officeart/2005/8/quickstyle/simple1#4" qsCatId="simple" csTypeId="urn:microsoft.com/office/officeart/2005/8/colors/colorful5#4" csCatId="colorful" phldr="1"/>
      <dgm:spPr/>
      <dgm:t>
        <a:bodyPr/>
        <a:lstStyle/>
        <a:p>
          <a:endParaRPr lang="en-US"/>
        </a:p>
      </dgm:t>
    </dgm:pt>
    <dgm:pt modelId="{EC42BE4E-921E-4D9B-9AE8-3C00B7C462C0}">
      <dgm:prSet phldrT="[Text]" custT="1"/>
      <dgm:spPr>
        <a:noFill/>
        <a:ln>
          <a:solidFill>
            <a:schemeClr val="accent6"/>
          </a:solidFill>
        </a:ln>
      </dgm:spPr>
      <dgm:t>
        <a:bodyPr/>
        <a:lstStyle/>
        <a:p>
          <a:r>
            <a:rPr lang="en-US" sz="1200" b="1" dirty="0">
              <a:solidFill>
                <a:schemeClr val="tx1"/>
              </a:solidFill>
              <a:latin typeface="Candara" panose="020E0502030303020204" pitchFamily="2" charset="0"/>
            </a:rPr>
            <a:t>SOM</a:t>
          </a:r>
        </a:p>
      </dgm:t>
    </dgm:pt>
    <dgm:pt modelId="{6C60D12D-B588-48E0-89E0-F7F69F6FE566}" type="parTrans" cxnId="{5CC7469D-E146-4031-953E-8AD79FD890D5}">
      <dgm:prSet/>
      <dgm:spPr/>
      <dgm:t>
        <a:bodyPr/>
        <a:lstStyle/>
        <a:p>
          <a:endParaRPr lang="en-US"/>
        </a:p>
      </dgm:t>
    </dgm:pt>
    <dgm:pt modelId="{92434C35-CE8C-4263-A272-2C4B03A03A95}" type="sibTrans" cxnId="{5CC7469D-E146-4031-953E-8AD79FD890D5}">
      <dgm:prSet/>
      <dgm:spPr/>
      <dgm:t>
        <a:bodyPr/>
        <a:lstStyle/>
        <a:p>
          <a:endParaRPr lang="en-US"/>
        </a:p>
      </dgm:t>
    </dgm:pt>
    <dgm:pt modelId="{B4A9B14E-7BA7-4F8C-8D66-8C9EEF730548}" type="asst">
      <dgm:prSet phldrT="[Text]" custT="1"/>
      <dgm:spPr>
        <a:noFill/>
        <a:ln>
          <a:solidFill>
            <a:schemeClr val="accent6"/>
          </a:solidFill>
        </a:ln>
      </dgm:spPr>
      <dgm:t>
        <a:bodyPr/>
        <a:lstStyle/>
        <a:p>
          <a:r>
            <a:rPr lang="en-US" sz="1200" b="1" dirty="0">
              <a:solidFill>
                <a:schemeClr val="tx1"/>
              </a:solidFill>
              <a:latin typeface="Candara" panose="020E0502030303020204" pitchFamily="2" charset="0"/>
            </a:rPr>
            <a:t>National Focal Points</a:t>
          </a:r>
        </a:p>
      </dgm:t>
    </dgm:pt>
    <dgm:pt modelId="{5C8D4FC3-EB35-4AF8-946E-B9FBD4D28B91}" type="parTrans" cxnId="{102EA86B-CD74-4AD8-9DEF-97622969C9AA}">
      <dgm:prSet/>
      <dgm:spPr>
        <a:effectLst>
          <a:innerShdw blurRad="63500" dist="50800" dir="2700000">
            <a:prstClr val="black">
              <a:alpha val="50000"/>
            </a:prstClr>
          </a:innerShdw>
        </a:effectLst>
      </dgm:spPr>
      <dgm:t>
        <a:bodyPr/>
        <a:lstStyle/>
        <a:p>
          <a:endParaRPr lang="en-US"/>
        </a:p>
      </dgm:t>
    </dgm:pt>
    <dgm:pt modelId="{59FF7685-1E7E-4EA5-A884-50FEC4E0765B}" type="sibTrans" cxnId="{102EA86B-CD74-4AD8-9DEF-97622969C9AA}">
      <dgm:prSet/>
      <dgm:spPr/>
      <dgm:t>
        <a:bodyPr/>
        <a:lstStyle/>
        <a:p>
          <a:endParaRPr lang="en-US"/>
        </a:p>
      </dgm:t>
    </dgm:pt>
    <dgm:pt modelId="{25B7F316-6162-4382-B901-4834EFAB9CDF}">
      <dgm:prSet phldrT="[Text]" custT="1"/>
      <dgm:spPr>
        <a:noFill/>
        <a:ln>
          <a:solidFill>
            <a:schemeClr val="accent6"/>
          </a:solidFill>
        </a:ln>
      </dgm:spPr>
      <dgm:t>
        <a:bodyPr/>
        <a:lstStyle/>
        <a:p>
          <a:r>
            <a:rPr lang="en-US" sz="1200" b="1" dirty="0">
              <a:solidFill>
                <a:schemeClr val="tx1"/>
              </a:solidFill>
              <a:latin typeface="Candara" panose="020E0502030303020204" pitchFamily="2" charset="0"/>
            </a:rPr>
            <a:t>Secretariat</a:t>
          </a:r>
        </a:p>
      </dgm:t>
    </dgm:pt>
    <dgm:pt modelId="{0930BED1-F65D-41BC-8168-11827E80BA36}" type="parTrans" cxnId="{CF35AC12-DCD5-4C1F-854D-6A1A2C35DF8B}">
      <dgm:prSet/>
      <dgm:spPr/>
      <dgm:t>
        <a:bodyPr/>
        <a:lstStyle/>
        <a:p>
          <a:endParaRPr lang="en-US"/>
        </a:p>
      </dgm:t>
    </dgm:pt>
    <dgm:pt modelId="{37A2C617-11E0-4C09-B80A-166D3ABCD865}" type="sibTrans" cxnId="{CF35AC12-DCD5-4C1F-854D-6A1A2C35DF8B}">
      <dgm:prSet/>
      <dgm:spPr/>
      <dgm:t>
        <a:bodyPr/>
        <a:lstStyle/>
        <a:p>
          <a:endParaRPr lang="en-US"/>
        </a:p>
      </dgm:t>
    </dgm:pt>
    <dgm:pt modelId="{BD9214D7-3AED-4BB4-9C06-05E654648B41}">
      <dgm:prSet phldrT="[Text]" custT="1"/>
      <dgm:spPr>
        <a:noFill/>
        <a:ln>
          <a:solidFill>
            <a:schemeClr val="accent6"/>
          </a:solidFill>
        </a:ln>
      </dgm:spPr>
      <dgm:t>
        <a:bodyPr/>
        <a:lstStyle/>
        <a:p>
          <a:r>
            <a:rPr lang="en-US" sz="1200" b="1" dirty="0">
              <a:solidFill>
                <a:schemeClr val="tx1"/>
              </a:solidFill>
              <a:latin typeface="Candara" panose="020E0502030303020204" pitchFamily="2" charset="0"/>
            </a:rPr>
            <a:t>Commmittees, Technical Centers &amp; Working Groups</a:t>
          </a:r>
        </a:p>
      </dgm:t>
    </dgm:pt>
    <dgm:pt modelId="{B890181B-1779-4924-AF89-814B56835B09}" type="parTrans" cxnId="{08D5FE58-110F-4084-BDFA-234405D141C9}">
      <dgm:prSet/>
      <dgm:spPr/>
      <dgm:t>
        <a:bodyPr/>
        <a:lstStyle/>
        <a:p>
          <a:endParaRPr lang="en-US"/>
        </a:p>
      </dgm:t>
    </dgm:pt>
    <dgm:pt modelId="{C6DE2D6B-8070-46DB-B1F5-0AA8FE23E4B5}" type="sibTrans" cxnId="{08D5FE58-110F-4084-BDFA-234405D141C9}">
      <dgm:prSet/>
      <dgm:spPr/>
      <dgm:t>
        <a:bodyPr/>
        <a:lstStyle/>
        <a:p>
          <a:endParaRPr lang="en-US"/>
        </a:p>
      </dgm:t>
    </dgm:pt>
    <dgm:pt modelId="{C46DB1F3-4F53-44D9-AC92-73A37914CED7}">
      <dgm:prSet phldrT="[Text]" custT="1"/>
      <dgm:spPr>
        <a:noFill/>
        <a:ln>
          <a:solidFill>
            <a:schemeClr val="accent6"/>
          </a:solidFill>
        </a:ln>
      </dgm:spPr>
      <dgm:t>
        <a:bodyPr/>
        <a:lstStyle/>
        <a:p>
          <a:r>
            <a:rPr lang="en-US" sz="1200" b="1" dirty="0">
              <a:solidFill>
                <a:schemeClr val="tx1"/>
              </a:solidFill>
              <a:latin typeface="Candara" panose="020E0502030303020204" pitchFamily="2" charset="0"/>
            </a:rPr>
            <a:t>Project Partners</a:t>
          </a:r>
        </a:p>
      </dgm:t>
    </dgm:pt>
    <dgm:pt modelId="{DF6F697F-B9E6-4F41-B0BC-1534D31C8E7B}" type="parTrans" cxnId="{837C54B9-F7AE-4304-A4A8-5932FFAACC7E}">
      <dgm:prSet/>
      <dgm:spPr/>
      <dgm:t>
        <a:bodyPr/>
        <a:lstStyle/>
        <a:p>
          <a:endParaRPr lang="en-US"/>
        </a:p>
      </dgm:t>
    </dgm:pt>
    <dgm:pt modelId="{0CE81F9C-7873-4908-BBE1-44EB462627ED}" type="sibTrans" cxnId="{837C54B9-F7AE-4304-A4A8-5932FFAACC7E}">
      <dgm:prSet/>
      <dgm:spPr/>
      <dgm:t>
        <a:bodyPr/>
        <a:lstStyle/>
        <a:p>
          <a:endParaRPr lang="en-US"/>
        </a:p>
      </dgm:t>
    </dgm:pt>
    <dgm:pt modelId="{4BF7BFD3-7E57-43AA-A29F-AA9DA1A17E37}" type="pres">
      <dgm:prSet presAssocID="{6B445CE3-2923-4CA2-B1BD-8A58DAA747A5}" presName="hierChild1" presStyleCnt="0">
        <dgm:presLayoutVars>
          <dgm:orgChart val="1"/>
          <dgm:chPref val="1"/>
          <dgm:dir/>
          <dgm:animOne val="branch"/>
          <dgm:animLvl val="lvl"/>
          <dgm:resizeHandles/>
        </dgm:presLayoutVars>
      </dgm:prSet>
      <dgm:spPr/>
    </dgm:pt>
    <dgm:pt modelId="{F5B2BA9E-C6BB-4CC6-9031-F3AEF199046F}" type="pres">
      <dgm:prSet presAssocID="{EC42BE4E-921E-4D9B-9AE8-3C00B7C462C0}" presName="hierRoot1" presStyleCnt="0">
        <dgm:presLayoutVars>
          <dgm:hierBranch val="init"/>
        </dgm:presLayoutVars>
      </dgm:prSet>
      <dgm:spPr/>
    </dgm:pt>
    <dgm:pt modelId="{ABB4633F-4899-4E16-924F-896EBC5688F6}" type="pres">
      <dgm:prSet presAssocID="{EC42BE4E-921E-4D9B-9AE8-3C00B7C462C0}" presName="rootComposite1" presStyleCnt="0"/>
      <dgm:spPr/>
    </dgm:pt>
    <dgm:pt modelId="{635498BC-EBB2-4AE0-AA91-FB5A78EB991C}" type="pres">
      <dgm:prSet presAssocID="{EC42BE4E-921E-4D9B-9AE8-3C00B7C462C0}" presName="rootText1" presStyleLbl="node0" presStyleIdx="0" presStyleCnt="3" custLinFactNeighborX="95241" custLinFactNeighborY="-151">
        <dgm:presLayoutVars>
          <dgm:chPref val="3"/>
        </dgm:presLayoutVars>
      </dgm:prSet>
      <dgm:spPr/>
    </dgm:pt>
    <dgm:pt modelId="{267FAE27-E585-4A70-8A03-D25B212582DE}" type="pres">
      <dgm:prSet presAssocID="{EC42BE4E-921E-4D9B-9AE8-3C00B7C462C0}" presName="rootConnector1" presStyleLbl="node1" presStyleIdx="0" presStyleCnt="0"/>
      <dgm:spPr/>
    </dgm:pt>
    <dgm:pt modelId="{198758E7-0EB2-4DFE-B6D9-49BA0660ECD2}" type="pres">
      <dgm:prSet presAssocID="{EC42BE4E-921E-4D9B-9AE8-3C00B7C462C0}" presName="hierChild2" presStyleCnt="0"/>
      <dgm:spPr/>
    </dgm:pt>
    <dgm:pt modelId="{85680D06-EB24-4D75-B29E-3468EF5B2921}" type="pres">
      <dgm:prSet presAssocID="{0930BED1-F65D-41BC-8168-11827E80BA36}" presName="Name37" presStyleLbl="parChTrans1D2" presStyleIdx="0" presStyleCnt="2"/>
      <dgm:spPr/>
    </dgm:pt>
    <dgm:pt modelId="{00C3EDEA-E47A-4890-B121-AF15B2719B27}" type="pres">
      <dgm:prSet presAssocID="{25B7F316-6162-4382-B901-4834EFAB9CDF}" presName="hierRoot2" presStyleCnt="0">
        <dgm:presLayoutVars>
          <dgm:hierBranch val="init"/>
        </dgm:presLayoutVars>
      </dgm:prSet>
      <dgm:spPr/>
    </dgm:pt>
    <dgm:pt modelId="{4BD80877-7D8C-46F3-9450-0BE5376BAAAB}" type="pres">
      <dgm:prSet presAssocID="{25B7F316-6162-4382-B901-4834EFAB9CDF}" presName="rootComposite" presStyleCnt="0"/>
      <dgm:spPr/>
    </dgm:pt>
    <dgm:pt modelId="{350FA0DC-D545-4CE1-8A25-03E5E34DAC10}" type="pres">
      <dgm:prSet presAssocID="{25B7F316-6162-4382-B901-4834EFAB9CDF}" presName="rootText" presStyleLbl="node2" presStyleIdx="0" presStyleCnt="1" custLinFactNeighborX="95241" custLinFactNeighborY="-5026">
        <dgm:presLayoutVars>
          <dgm:chPref val="3"/>
        </dgm:presLayoutVars>
      </dgm:prSet>
      <dgm:spPr/>
    </dgm:pt>
    <dgm:pt modelId="{1E334BA6-53F5-46F6-9F0E-24C5C25E88B3}" type="pres">
      <dgm:prSet presAssocID="{25B7F316-6162-4382-B901-4834EFAB9CDF}" presName="rootConnector" presStyleLbl="node2" presStyleIdx="0" presStyleCnt="1"/>
      <dgm:spPr/>
    </dgm:pt>
    <dgm:pt modelId="{816294BA-3AB6-4B40-AF4C-06D8506A0D22}" type="pres">
      <dgm:prSet presAssocID="{25B7F316-6162-4382-B901-4834EFAB9CDF}" presName="hierChild4" presStyleCnt="0"/>
      <dgm:spPr/>
    </dgm:pt>
    <dgm:pt modelId="{E6C6E35B-40E9-4BEC-92EC-4D8D3544A544}" type="pres">
      <dgm:prSet presAssocID="{25B7F316-6162-4382-B901-4834EFAB9CDF}" presName="hierChild5" presStyleCnt="0"/>
      <dgm:spPr/>
    </dgm:pt>
    <dgm:pt modelId="{AEA7E468-DD3D-4572-970C-41670B76228C}" type="pres">
      <dgm:prSet presAssocID="{EC42BE4E-921E-4D9B-9AE8-3C00B7C462C0}" presName="hierChild3" presStyleCnt="0"/>
      <dgm:spPr/>
    </dgm:pt>
    <dgm:pt modelId="{1FD5E3A0-C579-44BF-A83F-BAC5AD44A3FB}" type="pres">
      <dgm:prSet presAssocID="{5C8D4FC3-EB35-4AF8-946E-B9FBD4D28B91}" presName="Name111" presStyleLbl="parChTrans1D2" presStyleIdx="1" presStyleCnt="2"/>
      <dgm:spPr/>
    </dgm:pt>
    <dgm:pt modelId="{2E780136-1774-4DE9-90EA-10A180615CEB}" type="pres">
      <dgm:prSet presAssocID="{B4A9B14E-7BA7-4F8C-8D66-8C9EEF730548}" presName="hierRoot3" presStyleCnt="0">
        <dgm:presLayoutVars>
          <dgm:hierBranch val="init"/>
        </dgm:presLayoutVars>
      </dgm:prSet>
      <dgm:spPr/>
    </dgm:pt>
    <dgm:pt modelId="{958AC886-6227-4B50-8519-AEF74AAE836B}" type="pres">
      <dgm:prSet presAssocID="{B4A9B14E-7BA7-4F8C-8D66-8C9EEF730548}" presName="rootComposite3" presStyleCnt="0"/>
      <dgm:spPr/>
    </dgm:pt>
    <dgm:pt modelId="{C40E3838-E63E-472E-B2DD-91955B4A1832}" type="pres">
      <dgm:prSet presAssocID="{B4A9B14E-7BA7-4F8C-8D66-8C9EEF730548}" presName="rootText3" presStyleLbl="asst1" presStyleIdx="0" presStyleCnt="1" custLinFactNeighborX="25401" custLinFactNeighborY="-11202">
        <dgm:presLayoutVars>
          <dgm:chPref val="3"/>
        </dgm:presLayoutVars>
      </dgm:prSet>
      <dgm:spPr/>
    </dgm:pt>
    <dgm:pt modelId="{8EC4BED3-925C-4924-8F0F-183E4D6161F7}" type="pres">
      <dgm:prSet presAssocID="{B4A9B14E-7BA7-4F8C-8D66-8C9EEF730548}" presName="rootConnector3" presStyleLbl="asst1" presStyleIdx="0" presStyleCnt="1"/>
      <dgm:spPr/>
    </dgm:pt>
    <dgm:pt modelId="{13211B0A-7E1A-42A9-BCA0-0D0FC55617BD}" type="pres">
      <dgm:prSet presAssocID="{B4A9B14E-7BA7-4F8C-8D66-8C9EEF730548}" presName="hierChild6" presStyleCnt="0"/>
      <dgm:spPr/>
    </dgm:pt>
    <dgm:pt modelId="{62882109-E97A-4412-ADCD-2220199EFFE1}" type="pres">
      <dgm:prSet presAssocID="{B4A9B14E-7BA7-4F8C-8D66-8C9EEF730548}" presName="hierChild7" presStyleCnt="0"/>
      <dgm:spPr/>
    </dgm:pt>
    <dgm:pt modelId="{249662EE-1D88-4EAC-B81F-B578A81627A2}" type="pres">
      <dgm:prSet presAssocID="{BD9214D7-3AED-4BB4-9C06-05E654648B41}" presName="hierRoot1" presStyleCnt="0">
        <dgm:presLayoutVars>
          <dgm:hierBranch val="init"/>
        </dgm:presLayoutVars>
      </dgm:prSet>
      <dgm:spPr/>
    </dgm:pt>
    <dgm:pt modelId="{51BBDB52-4D44-4EC5-B954-0BED024A4347}" type="pres">
      <dgm:prSet presAssocID="{BD9214D7-3AED-4BB4-9C06-05E654648B41}" presName="rootComposite1" presStyleCnt="0"/>
      <dgm:spPr/>
    </dgm:pt>
    <dgm:pt modelId="{30C2EF1C-EF0C-4F98-9D1B-A7280CB03E3B}" type="pres">
      <dgm:prSet presAssocID="{BD9214D7-3AED-4BB4-9C06-05E654648B41}" presName="rootText1" presStyleLbl="node0" presStyleIdx="1" presStyleCnt="3" custScaleX="115410" custLinFactX="-67016" custLinFactY="100000" custLinFactNeighborX="-100000" custLinFactNeighborY="178974">
        <dgm:presLayoutVars>
          <dgm:chPref val="3"/>
        </dgm:presLayoutVars>
      </dgm:prSet>
      <dgm:spPr/>
    </dgm:pt>
    <dgm:pt modelId="{8442475E-ECB6-40F1-96C7-4B91ED678941}" type="pres">
      <dgm:prSet presAssocID="{BD9214D7-3AED-4BB4-9C06-05E654648B41}" presName="rootConnector1" presStyleLbl="node1" presStyleIdx="0" presStyleCnt="0"/>
      <dgm:spPr/>
    </dgm:pt>
    <dgm:pt modelId="{99256F90-1E7C-49A5-99C0-5BFC86581A17}" type="pres">
      <dgm:prSet presAssocID="{BD9214D7-3AED-4BB4-9C06-05E654648B41}" presName="hierChild2" presStyleCnt="0"/>
      <dgm:spPr/>
    </dgm:pt>
    <dgm:pt modelId="{FEC4BDD4-7EBC-4BC5-969E-C4F2227B0381}" type="pres">
      <dgm:prSet presAssocID="{BD9214D7-3AED-4BB4-9C06-05E654648B41}" presName="hierChild3" presStyleCnt="0"/>
      <dgm:spPr/>
    </dgm:pt>
    <dgm:pt modelId="{2B33E559-C0F1-4631-AB8C-010858456E81}" type="pres">
      <dgm:prSet presAssocID="{C46DB1F3-4F53-44D9-AC92-73A37914CED7}" presName="hierRoot1" presStyleCnt="0">
        <dgm:presLayoutVars>
          <dgm:hierBranch val="init"/>
        </dgm:presLayoutVars>
      </dgm:prSet>
      <dgm:spPr/>
    </dgm:pt>
    <dgm:pt modelId="{ECEB9FE7-7C68-465B-B4D6-87F68AC9D137}" type="pres">
      <dgm:prSet presAssocID="{C46DB1F3-4F53-44D9-AC92-73A37914CED7}" presName="rootComposite1" presStyleCnt="0"/>
      <dgm:spPr/>
    </dgm:pt>
    <dgm:pt modelId="{59A0FE1E-9B60-4384-A955-F31AE1B382A6}" type="pres">
      <dgm:prSet presAssocID="{C46DB1F3-4F53-44D9-AC92-73A37914CED7}" presName="rootText1" presStyleLbl="node0" presStyleIdx="2" presStyleCnt="3" custLinFactY="100000" custLinFactNeighborX="-36512" custLinFactNeighborY="182093">
        <dgm:presLayoutVars>
          <dgm:chPref val="3"/>
        </dgm:presLayoutVars>
      </dgm:prSet>
      <dgm:spPr/>
    </dgm:pt>
    <dgm:pt modelId="{44E74B8F-0BC4-4C55-BC1C-6B18976B5C91}" type="pres">
      <dgm:prSet presAssocID="{C46DB1F3-4F53-44D9-AC92-73A37914CED7}" presName="rootConnector1" presStyleLbl="node1" presStyleIdx="0" presStyleCnt="0"/>
      <dgm:spPr/>
    </dgm:pt>
    <dgm:pt modelId="{BC23283D-93D8-4386-AD37-A10F37215722}" type="pres">
      <dgm:prSet presAssocID="{C46DB1F3-4F53-44D9-AC92-73A37914CED7}" presName="hierChild2" presStyleCnt="0"/>
      <dgm:spPr/>
    </dgm:pt>
    <dgm:pt modelId="{7D55C9B1-4694-4B2A-AB1D-248F4F0F94A5}" type="pres">
      <dgm:prSet presAssocID="{C46DB1F3-4F53-44D9-AC92-73A37914CED7}" presName="hierChild3" presStyleCnt="0"/>
      <dgm:spPr/>
    </dgm:pt>
  </dgm:ptLst>
  <dgm:cxnLst>
    <dgm:cxn modelId="{B8BE3A01-7797-4F9F-892A-BD7931690E66}" type="presOf" srcId="{EC42BE4E-921E-4D9B-9AE8-3C00B7C462C0}" destId="{635498BC-EBB2-4AE0-AA91-FB5A78EB991C}" srcOrd="0" destOrd="0" presId="urn:microsoft.com/office/officeart/2005/8/layout/orgChart1#4"/>
    <dgm:cxn modelId="{CF35AC12-DCD5-4C1F-854D-6A1A2C35DF8B}" srcId="{EC42BE4E-921E-4D9B-9AE8-3C00B7C462C0}" destId="{25B7F316-6162-4382-B901-4834EFAB9CDF}" srcOrd="1" destOrd="0" parTransId="{0930BED1-F65D-41BC-8168-11827E80BA36}" sibTransId="{37A2C617-11E0-4C09-B80A-166D3ABCD865}"/>
    <dgm:cxn modelId="{5B4BA623-C3C4-4828-A74A-8DBE5BD5CE46}" type="presOf" srcId="{C46DB1F3-4F53-44D9-AC92-73A37914CED7}" destId="{44E74B8F-0BC4-4C55-BC1C-6B18976B5C91}" srcOrd="1" destOrd="0" presId="urn:microsoft.com/office/officeart/2005/8/layout/orgChart1#4"/>
    <dgm:cxn modelId="{7E6E9726-D1E9-4232-BD13-9561C2F82921}" type="presOf" srcId="{5C8D4FC3-EB35-4AF8-946E-B9FBD4D28B91}" destId="{1FD5E3A0-C579-44BF-A83F-BAC5AD44A3FB}" srcOrd="0" destOrd="0" presId="urn:microsoft.com/office/officeart/2005/8/layout/orgChart1#4"/>
    <dgm:cxn modelId="{1837F566-75B9-4386-B892-9C15538DF8CC}" type="presOf" srcId="{B4A9B14E-7BA7-4F8C-8D66-8C9EEF730548}" destId="{C40E3838-E63E-472E-B2DD-91955B4A1832}" srcOrd="0" destOrd="0" presId="urn:microsoft.com/office/officeart/2005/8/layout/orgChart1#4"/>
    <dgm:cxn modelId="{102EA86B-CD74-4AD8-9DEF-97622969C9AA}" srcId="{EC42BE4E-921E-4D9B-9AE8-3C00B7C462C0}" destId="{B4A9B14E-7BA7-4F8C-8D66-8C9EEF730548}" srcOrd="0" destOrd="0" parTransId="{5C8D4FC3-EB35-4AF8-946E-B9FBD4D28B91}" sibTransId="{59FF7685-1E7E-4EA5-A884-50FEC4E0765B}"/>
    <dgm:cxn modelId="{660F286F-A51C-4186-B30A-55E1D72E1E9D}" type="presOf" srcId="{EC42BE4E-921E-4D9B-9AE8-3C00B7C462C0}" destId="{267FAE27-E585-4A70-8A03-D25B212582DE}" srcOrd="1" destOrd="0" presId="urn:microsoft.com/office/officeart/2005/8/layout/orgChart1#4"/>
    <dgm:cxn modelId="{97A07475-0F8F-4D32-B6D4-4AC8711AC357}" type="presOf" srcId="{0930BED1-F65D-41BC-8168-11827E80BA36}" destId="{85680D06-EB24-4D75-B29E-3468EF5B2921}" srcOrd="0" destOrd="0" presId="urn:microsoft.com/office/officeart/2005/8/layout/orgChart1#4"/>
    <dgm:cxn modelId="{CB1BA375-A30A-4754-AD7E-FEABEFE199AE}" type="presOf" srcId="{25B7F316-6162-4382-B901-4834EFAB9CDF}" destId="{350FA0DC-D545-4CE1-8A25-03E5E34DAC10}" srcOrd="0" destOrd="0" presId="urn:microsoft.com/office/officeart/2005/8/layout/orgChart1#4"/>
    <dgm:cxn modelId="{08D5FE58-110F-4084-BDFA-234405D141C9}" srcId="{6B445CE3-2923-4CA2-B1BD-8A58DAA747A5}" destId="{BD9214D7-3AED-4BB4-9C06-05E654648B41}" srcOrd="1" destOrd="0" parTransId="{B890181B-1779-4924-AF89-814B56835B09}" sibTransId="{C6DE2D6B-8070-46DB-B1F5-0AA8FE23E4B5}"/>
    <dgm:cxn modelId="{5B1A5459-C859-4424-8497-2BDE249FE02D}" type="presOf" srcId="{B4A9B14E-7BA7-4F8C-8D66-8C9EEF730548}" destId="{8EC4BED3-925C-4924-8F0F-183E4D6161F7}" srcOrd="1" destOrd="0" presId="urn:microsoft.com/office/officeart/2005/8/layout/orgChart1#4"/>
    <dgm:cxn modelId="{00B2D895-29D4-468D-8CE3-649C323310D8}" type="presOf" srcId="{C46DB1F3-4F53-44D9-AC92-73A37914CED7}" destId="{59A0FE1E-9B60-4384-A955-F31AE1B382A6}" srcOrd="0" destOrd="0" presId="urn:microsoft.com/office/officeart/2005/8/layout/orgChart1#4"/>
    <dgm:cxn modelId="{5CC7469D-E146-4031-953E-8AD79FD890D5}" srcId="{6B445CE3-2923-4CA2-B1BD-8A58DAA747A5}" destId="{EC42BE4E-921E-4D9B-9AE8-3C00B7C462C0}" srcOrd="0" destOrd="0" parTransId="{6C60D12D-B588-48E0-89E0-F7F69F6FE566}" sibTransId="{92434C35-CE8C-4263-A272-2C4B03A03A95}"/>
    <dgm:cxn modelId="{FF92FAA0-63C2-4B54-B79B-44735D44D856}" type="presOf" srcId="{25B7F316-6162-4382-B901-4834EFAB9CDF}" destId="{1E334BA6-53F5-46F6-9F0E-24C5C25E88B3}" srcOrd="1" destOrd="0" presId="urn:microsoft.com/office/officeart/2005/8/layout/orgChart1#4"/>
    <dgm:cxn modelId="{99510DA7-C380-4788-917B-DE958A782A34}" type="presOf" srcId="{BD9214D7-3AED-4BB4-9C06-05E654648B41}" destId="{30C2EF1C-EF0C-4F98-9D1B-A7280CB03E3B}" srcOrd="0" destOrd="0" presId="urn:microsoft.com/office/officeart/2005/8/layout/orgChart1#4"/>
    <dgm:cxn modelId="{837C54B9-F7AE-4304-A4A8-5932FFAACC7E}" srcId="{6B445CE3-2923-4CA2-B1BD-8A58DAA747A5}" destId="{C46DB1F3-4F53-44D9-AC92-73A37914CED7}" srcOrd="2" destOrd="0" parTransId="{DF6F697F-B9E6-4F41-B0BC-1534D31C8E7B}" sibTransId="{0CE81F9C-7873-4908-BBE1-44EB462627ED}"/>
    <dgm:cxn modelId="{0F8730BE-44EC-42F8-A795-5BBF6CAFCAB6}" type="presOf" srcId="{6B445CE3-2923-4CA2-B1BD-8A58DAA747A5}" destId="{4BF7BFD3-7E57-43AA-A29F-AA9DA1A17E37}" srcOrd="0" destOrd="0" presId="urn:microsoft.com/office/officeart/2005/8/layout/orgChart1#4"/>
    <dgm:cxn modelId="{908EC5D9-010D-47D9-9604-C581783C35A7}" type="presOf" srcId="{BD9214D7-3AED-4BB4-9C06-05E654648B41}" destId="{8442475E-ECB6-40F1-96C7-4B91ED678941}" srcOrd="1" destOrd="0" presId="urn:microsoft.com/office/officeart/2005/8/layout/orgChart1#4"/>
    <dgm:cxn modelId="{044203F4-DEDA-4A91-A712-D019BAF50906}" type="presParOf" srcId="{4BF7BFD3-7E57-43AA-A29F-AA9DA1A17E37}" destId="{F5B2BA9E-C6BB-4CC6-9031-F3AEF199046F}" srcOrd="0" destOrd="0" presId="urn:microsoft.com/office/officeart/2005/8/layout/orgChart1#4"/>
    <dgm:cxn modelId="{148EEAA2-3279-43BD-A8B5-95B2BAEFBD61}" type="presParOf" srcId="{F5B2BA9E-C6BB-4CC6-9031-F3AEF199046F}" destId="{ABB4633F-4899-4E16-924F-896EBC5688F6}" srcOrd="0" destOrd="0" presId="urn:microsoft.com/office/officeart/2005/8/layout/orgChart1#4"/>
    <dgm:cxn modelId="{9DC7C06A-DFBF-4F5E-9F13-BD8882296FE1}" type="presParOf" srcId="{ABB4633F-4899-4E16-924F-896EBC5688F6}" destId="{635498BC-EBB2-4AE0-AA91-FB5A78EB991C}" srcOrd="0" destOrd="0" presId="urn:microsoft.com/office/officeart/2005/8/layout/orgChart1#4"/>
    <dgm:cxn modelId="{D457559E-F462-4500-9170-F50825643D15}" type="presParOf" srcId="{ABB4633F-4899-4E16-924F-896EBC5688F6}" destId="{267FAE27-E585-4A70-8A03-D25B212582DE}" srcOrd="1" destOrd="0" presId="urn:microsoft.com/office/officeart/2005/8/layout/orgChart1#4"/>
    <dgm:cxn modelId="{F4036EF3-A47E-4C5D-A03B-F1D9D5D23B42}" type="presParOf" srcId="{F5B2BA9E-C6BB-4CC6-9031-F3AEF199046F}" destId="{198758E7-0EB2-4DFE-B6D9-49BA0660ECD2}" srcOrd="1" destOrd="0" presId="urn:microsoft.com/office/officeart/2005/8/layout/orgChart1#4"/>
    <dgm:cxn modelId="{88D5A30C-19E1-4B80-A52C-0163C3F79800}" type="presParOf" srcId="{198758E7-0EB2-4DFE-B6D9-49BA0660ECD2}" destId="{85680D06-EB24-4D75-B29E-3468EF5B2921}" srcOrd="0" destOrd="0" presId="urn:microsoft.com/office/officeart/2005/8/layout/orgChart1#4"/>
    <dgm:cxn modelId="{B7083EEC-ACC8-4012-90A5-3DC956B60538}" type="presParOf" srcId="{198758E7-0EB2-4DFE-B6D9-49BA0660ECD2}" destId="{00C3EDEA-E47A-4890-B121-AF15B2719B27}" srcOrd="1" destOrd="0" presId="urn:microsoft.com/office/officeart/2005/8/layout/orgChart1#4"/>
    <dgm:cxn modelId="{7C82BC20-D6AB-4012-8E73-E7BA4D616602}" type="presParOf" srcId="{00C3EDEA-E47A-4890-B121-AF15B2719B27}" destId="{4BD80877-7D8C-46F3-9450-0BE5376BAAAB}" srcOrd="0" destOrd="0" presId="urn:microsoft.com/office/officeart/2005/8/layout/orgChart1#4"/>
    <dgm:cxn modelId="{B8583EFD-B0A2-4330-A469-77F4391C6F08}" type="presParOf" srcId="{4BD80877-7D8C-46F3-9450-0BE5376BAAAB}" destId="{350FA0DC-D545-4CE1-8A25-03E5E34DAC10}" srcOrd="0" destOrd="0" presId="urn:microsoft.com/office/officeart/2005/8/layout/orgChart1#4"/>
    <dgm:cxn modelId="{AE980D0E-FF70-4631-B310-B016F77080D0}" type="presParOf" srcId="{4BD80877-7D8C-46F3-9450-0BE5376BAAAB}" destId="{1E334BA6-53F5-46F6-9F0E-24C5C25E88B3}" srcOrd="1" destOrd="0" presId="urn:microsoft.com/office/officeart/2005/8/layout/orgChart1#4"/>
    <dgm:cxn modelId="{89C29B58-9B00-4CA5-96EB-AAF631B3E9F4}" type="presParOf" srcId="{00C3EDEA-E47A-4890-B121-AF15B2719B27}" destId="{816294BA-3AB6-4B40-AF4C-06D8506A0D22}" srcOrd="1" destOrd="0" presId="urn:microsoft.com/office/officeart/2005/8/layout/orgChart1#4"/>
    <dgm:cxn modelId="{3A5562F2-C893-412A-89C1-6FA22394F159}" type="presParOf" srcId="{00C3EDEA-E47A-4890-B121-AF15B2719B27}" destId="{E6C6E35B-40E9-4BEC-92EC-4D8D3544A544}" srcOrd="2" destOrd="0" presId="urn:microsoft.com/office/officeart/2005/8/layout/orgChart1#4"/>
    <dgm:cxn modelId="{AE884518-C8E6-4C42-A7FD-A95B0ACA389A}" type="presParOf" srcId="{F5B2BA9E-C6BB-4CC6-9031-F3AEF199046F}" destId="{AEA7E468-DD3D-4572-970C-41670B76228C}" srcOrd="2" destOrd="0" presId="urn:microsoft.com/office/officeart/2005/8/layout/orgChart1#4"/>
    <dgm:cxn modelId="{B1D206B3-2F37-4896-811C-FB2F5C1B43FF}" type="presParOf" srcId="{AEA7E468-DD3D-4572-970C-41670B76228C}" destId="{1FD5E3A0-C579-44BF-A83F-BAC5AD44A3FB}" srcOrd="0" destOrd="0" presId="urn:microsoft.com/office/officeart/2005/8/layout/orgChart1#4"/>
    <dgm:cxn modelId="{BE427A75-C583-492F-B092-D3D58BDA9F41}" type="presParOf" srcId="{AEA7E468-DD3D-4572-970C-41670B76228C}" destId="{2E780136-1774-4DE9-90EA-10A180615CEB}" srcOrd="1" destOrd="0" presId="urn:microsoft.com/office/officeart/2005/8/layout/orgChart1#4"/>
    <dgm:cxn modelId="{4CECBE05-B7C4-4F34-B34C-BB860C412991}" type="presParOf" srcId="{2E780136-1774-4DE9-90EA-10A180615CEB}" destId="{958AC886-6227-4B50-8519-AEF74AAE836B}" srcOrd="0" destOrd="0" presId="urn:microsoft.com/office/officeart/2005/8/layout/orgChart1#4"/>
    <dgm:cxn modelId="{8F2E2F06-86FC-45AF-8ED4-A37893CB26CC}" type="presParOf" srcId="{958AC886-6227-4B50-8519-AEF74AAE836B}" destId="{C40E3838-E63E-472E-B2DD-91955B4A1832}" srcOrd="0" destOrd="0" presId="urn:microsoft.com/office/officeart/2005/8/layout/orgChart1#4"/>
    <dgm:cxn modelId="{C7A3517D-6A45-4A01-AEFB-9C076ECE87C2}" type="presParOf" srcId="{958AC886-6227-4B50-8519-AEF74AAE836B}" destId="{8EC4BED3-925C-4924-8F0F-183E4D6161F7}" srcOrd="1" destOrd="0" presId="urn:microsoft.com/office/officeart/2005/8/layout/orgChart1#4"/>
    <dgm:cxn modelId="{24269599-F33E-42FE-BF99-FCDAAE0D196C}" type="presParOf" srcId="{2E780136-1774-4DE9-90EA-10A180615CEB}" destId="{13211B0A-7E1A-42A9-BCA0-0D0FC55617BD}" srcOrd="1" destOrd="0" presId="urn:microsoft.com/office/officeart/2005/8/layout/orgChart1#4"/>
    <dgm:cxn modelId="{32B9098F-4C5F-4FFD-B8DC-5168A5C87B68}" type="presParOf" srcId="{2E780136-1774-4DE9-90EA-10A180615CEB}" destId="{62882109-E97A-4412-ADCD-2220199EFFE1}" srcOrd="2" destOrd="0" presId="urn:microsoft.com/office/officeart/2005/8/layout/orgChart1#4"/>
    <dgm:cxn modelId="{94620ACE-0EE1-425A-BD2D-9DB90FC995B6}" type="presParOf" srcId="{4BF7BFD3-7E57-43AA-A29F-AA9DA1A17E37}" destId="{249662EE-1D88-4EAC-B81F-B578A81627A2}" srcOrd="1" destOrd="0" presId="urn:microsoft.com/office/officeart/2005/8/layout/orgChart1#4"/>
    <dgm:cxn modelId="{81BA7B91-5892-44C8-9C20-21AF57C04BA7}" type="presParOf" srcId="{249662EE-1D88-4EAC-B81F-B578A81627A2}" destId="{51BBDB52-4D44-4EC5-B954-0BED024A4347}" srcOrd="0" destOrd="0" presId="urn:microsoft.com/office/officeart/2005/8/layout/orgChart1#4"/>
    <dgm:cxn modelId="{8A75CCD0-D8F8-4D9F-B0B0-981A702AF1D0}" type="presParOf" srcId="{51BBDB52-4D44-4EC5-B954-0BED024A4347}" destId="{30C2EF1C-EF0C-4F98-9D1B-A7280CB03E3B}" srcOrd="0" destOrd="0" presId="urn:microsoft.com/office/officeart/2005/8/layout/orgChart1#4"/>
    <dgm:cxn modelId="{B625B345-9312-48F0-BC2C-71D46477767C}" type="presParOf" srcId="{51BBDB52-4D44-4EC5-B954-0BED024A4347}" destId="{8442475E-ECB6-40F1-96C7-4B91ED678941}" srcOrd="1" destOrd="0" presId="urn:microsoft.com/office/officeart/2005/8/layout/orgChart1#4"/>
    <dgm:cxn modelId="{7881815C-FFF4-42D1-94FA-82ACC3E58819}" type="presParOf" srcId="{249662EE-1D88-4EAC-B81F-B578A81627A2}" destId="{99256F90-1E7C-49A5-99C0-5BFC86581A17}" srcOrd="1" destOrd="0" presId="urn:microsoft.com/office/officeart/2005/8/layout/orgChart1#4"/>
    <dgm:cxn modelId="{4A4D66ED-F007-40B3-85C3-B5A23CEEAE4E}" type="presParOf" srcId="{249662EE-1D88-4EAC-B81F-B578A81627A2}" destId="{FEC4BDD4-7EBC-4BC5-969E-C4F2227B0381}" srcOrd="2" destOrd="0" presId="urn:microsoft.com/office/officeart/2005/8/layout/orgChart1#4"/>
    <dgm:cxn modelId="{F7D25E8C-625F-488D-8009-FBE72571156D}" type="presParOf" srcId="{4BF7BFD3-7E57-43AA-A29F-AA9DA1A17E37}" destId="{2B33E559-C0F1-4631-AB8C-010858456E81}" srcOrd="2" destOrd="0" presId="urn:microsoft.com/office/officeart/2005/8/layout/orgChart1#4"/>
    <dgm:cxn modelId="{B9942EFE-7501-43C8-940A-BC17E1541E0F}" type="presParOf" srcId="{2B33E559-C0F1-4631-AB8C-010858456E81}" destId="{ECEB9FE7-7C68-465B-B4D6-87F68AC9D137}" srcOrd="0" destOrd="0" presId="urn:microsoft.com/office/officeart/2005/8/layout/orgChart1#4"/>
    <dgm:cxn modelId="{7B22EAE5-4575-4857-92A0-6D0D2CDA2318}" type="presParOf" srcId="{ECEB9FE7-7C68-465B-B4D6-87F68AC9D137}" destId="{59A0FE1E-9B60-4384-A955-F31AE1B382A6}" srcOrd="0" destOrd="0" presId="urn:microsoft.com/office/officeart/2005/8/layout/orgChart1#4"/>
    <dgm:cxn modelId="{DE8958C5-FA98-4DE6-BC82-618F27FB47E3}" type="presParOf" srcId="{ECEB9FE7-7C68-465B-B4D6-87F68AC9D137}" destId="{44E74B8F-0BC4-4C55-BC1C-6B18976B5C91}" srcOrd="1" destOrd="0" presId="urn:microsoft.com/office/officeart/2005/8/layout/orgChart1#4"/>
    <dgm:cxn modelId="{59D65DF3-9479-485E-89B8-DEDA00B12456}" type="presParOf" srcId="{2B33E559-C0F1-4631-AB8C-010858456E81}" destId="{BC23283D-93D8-4386-AD37-A10F37215722}" srcOrd="1" destOrd="0" presId="urn:microsoft.com/office/officeart/2005/8/layout/orgChart1#4"/>
    <dgm:cxn modelId="{CB513EF1-B42B-468F-97EC-9AD9C5276F0D}" type="presParOf" srcId="{2B33E559-C0F1-4631-AB8C-010858456E81}" destId="{7D55C9B1-4694-4B2A-AB1D-248F4F0F94A5}" srcOrd="2" destOrd="0" presId="urn:microsoft.com/office/officeart/2005/8/layout/orgChart1#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D5E3A0-C579-44BF-A83F-BAC5AD44A3FB}">
      <dsp:nvSpPr>
        <dsp:cNvPr id="0" name=""/>
        <dsp:cNvSpPr/>
      </dsp:nvSpPr>
      <dsp:spPr>
        <a:xfrm>
          <a:off x="1776699" y="560026"/>
          <a:ext cx="898794" cy="452803"/>
        </a:xfrm>
        <a:custGeom>
          <a:avLst/>
          <a:gdLst/>
          <a:ahLst/>
          <a:cxnLst/>
          <a:rect l="0" t="0" r="0" b="0"/>
          <a:pathLst>
            <a:path>
              <a:moveTo>
                <a:pt x="898794" y="0"/>
              </a:moveTo>
              <a:lnTo>
                <a:pt x="898794" y="452803"/>
              </a:lnTo>
              <a:lnTo>
                <a:pt x="0" y="452803"/>
              </a:lnTo>
            </a:path>
          </a:pathLst>
        </a:custGeom>
        <a:noFill/>
        <a:ln w="25400" cap="flat" cmpd="sng" algn="ctr">
          <a:solidFill>
            <a:schemeClr val="accent6">
              <a:hueOff val="0"/>
              <a:satOff val="0"/>
              <a:lumOff val="0"/>
              <a:alphaOff val="0"/>
            </a:schemeClr>
          </a:solidFill>
          <a:prstDash val="solid"/>
        </a:ln>
        <a:effectLst>
          <a:innerShdw blurRad="63500" dist="50800" dir="2700000">
            <a:prstClr val="black">
              <a:alpha val="50000"/>
            </a:prstClr>
          </a:innerShdw>
        </a:effectLst>
      </dsp:spPr>
      <dsp:style>
        <a:lnRef idx="2">
          <a:scrgbClr r="0" g="0" b="0"/>
        </a:lnRef>
        <a:fillRef idx="0">
          <a:scrgbClr r="0" g="0" b="0"/>
        </a:fillRef>
        <a:effectRef idx="0">
          <a:scrgbClr r="0" g="0" b="0"/>
        </a:effectRef>
        <a:fontRef idx="minor"/>
      </dsp:style>
    </dsp:sp>
    <dsp:sp modelId="{85680D06-EB24-4D75-B29E-3468EF5B2921}">
      <dsp:nvSpPr>
        <dsp:cNvPr id="0" name=""/>
        <dsp:cNvSpPr/>
      </dsp:nvSpPr>
      <dsp:spPr>
        <a:xfrm>
          <a:off x="2629773" y="560026"/>
          <a:ext cx="91440" cy="1001969"/>
        </a:xfrm>
        <a:custGeom>
          <a:avLst/>
          <a:gdLst/>
          <a:ahLst/>
          <a:cxnLst/>
          <a:rect l="0" t="0" r="0" b="0"/>
          <a:pathLst>
            <a:path>
              <a:moveTo>
                <a:pt x="45720" y="0"/>
              </a:moveTo>
              <a:lnTo>
                <a:pt x="45720" y="100196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5498BC-EBB2-4AE0-AA91-FB5A78EB991C}">
      <dsp:nvSpPr>
        <dsp:cNvPr id="0" name=""/>
        <dsp:cNvSpPr/>
      </dsp:nvSpPr>
      <dsp:spPr>
        <a:xfrm>
          <a:off x="2116124" y="657"/>
          <a:ext cx="1118737" cy="559368"/>
        </a:xfrm>
        <a:prstGeom prst="rect">
          <a:avLst/>
        </a:prstGeom>
        <a:noFill/>
        <a:ln w="25400"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dirty="0">
              <a:solidFill>
                <a:schemeClr val="tx1"/>
              </a:solidFill>
              <a:latin typeface="Candara" panose="020E0502030303020204" pitchFamily="2" charset="0"/>
            </a:rPr>
            <a:t>SOM</a:t>
          </a:r>
        </a:p>
      </dsp:txBody>
      <dsp:txXfrm>
        <a:off x="2116124" y="657"/>
        <a:ext cx="1118737" cy="559368"/>
      </dsp:txXfrm>
    </dsp:sp>
    <dsp:sp modelId="{350FA0DC-D545-4CE1-8A25-03E5E34DAC10}">
      <dsp:nvSpPr>
        <dsp:cNvPr id="0" name=""/>
        <dsp:cNvSpPr/>
      </dsp:nvSpPr>
      <dsp:spPr>
        <a:xfrm>
          <a:off x="2116124" y="1561996"/>
          <a:ext cx="1118737" cy="559368"/>
        </a:xfrm>
        <a:prstGeom prst="rect">
          <a:avLst/>
        </a:prstGeom>
        <a:noFill/>
        <a:ln w="25400"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dirty="0">
              <a:solidFill>
                <a:schemeClr val="tx1"/>
              </a:solidFill>
              <a:latin typeface="Candara" panose="020E0502030303020204" pitchFamily="2" charset="0"/>
            </a:rPr>
            <a:t>Secretariat</a:t>
          </a:r>
        </a:p>
      </dsp:txBody>
      <dsp:txXfrm>
        <a:off x="2116124" y="1561996"/>
        <a:ext cx="1118737" cy="559368"/>
      </dsp:txXfrm>
    </dsp:sp>
    <dsp:sp modelId="{C40E3838-E63E-472E-B2DD-91955B4A1832}">
      <dsp:nvSpPr>
        <dsp:cNvPr id="0" name=""/>
        <dsp:cNvSpPr/>
      </dsp:nvSpPr>
      <dsp:spPr>
        <a:xfrm>
          <a:off x="657961" y="733146"/>
          <a:ext cx="1118737" cy="559368"/>
        </a:xfrm>
        <a:prstGeom prst="rect">
          <a:avLst/>
        </a:prstGeom>
        <a:noFill/>
        <a:ln w="25400"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dirty="0">
              <a:solidFill>
                <a:schemeClr val="tx1"/>
              </a:solidFill>
              <a:latin typeface="Candara" panose="020E0502030303020204" pitchFamily="2" charset="0"/>
            </a:rPr>
            <a:t>National Focal Points</a:t>
          </a:r>
        </a:p>
      </dsp:txBody>
      <dsp:txXfrm>
        <a:off x="657961" y="733146"/>
        <a:ext cx="1118737" cy="559368"/>
      </dsp:txXfrm>
    </dsp:sp>
    <dsp:sp modelId="{30C2EF1C-EF0C-4F98-9D1B-A7280CB03E3B}">
      <dsp:nvSpPr>
        <dsp:cNvPr id="0" name=""/>
        <dsp:cNvSpPr/>
      </dsp:nvSpPr>
      <dsp:spPr>
        <a:xfrm>
          <a:off x="535829" y="1561996"/>
          <a:ext cx="1291135" cy="559368"/>
        </a:xfrm>
        <a:prstGeom prst="rect">
          <a:avLst/>
        </a:prstGeom>
        <a:noFill/>
        <a:ln w="25400"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dirty="0">
              <a:solidFill>
                <a:schemeClr val="tx1"/>
              </a:solidFill>
              <a:latin typeface="Candara" panose="020E0502030303020204" pitchFamily="2" charset="0"/>
            </a:rPr>
            <a:t>Commmittees, Technical Centers &amp; Working Groups</a:t>
          </a:r>
        </a:p>
      </dsp:txBody>
      <dsp:txXfrm>
        <a:off x="535829" y="1561996"/>
        <a:ext cx="1291135" cy="559368"/>
      </dsp:txXfrm>
    </dsp:sp>
    <dsp:sp modelId="{59A0FE1E-9B60-4384-A955-F31AE1B382A6}">
      <dsp:nvSpPr>
        <dsp:cNvPr id="0" name=""/>
        <dsp:cNvSpPr/>
      </dsp:nvSpPr>
      <dsp:spPr>
        <a:xfrm>
          <a:off x="3521897" y="1579443"/>
          <a:ext cx="1118737" cy="559368"/>
        </a:xfrm>
        <a:prstGeom prst="rect">
          <a:avLst/>
        </a:prstGeom>
        <a:noFill/>
        <a:ln w="25400"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dirty="0">
              <a:solidFill>
                <a:schemeClr val="tx1"/>
              </a:solidFill>
              <a:latin typeface="Candara" panose="020E0502030303020204" pitchFamily="2" charset="0"/>
            </a:rPr>
            <a:t>Project Partners</a:t>
          </a:r>
        </a:p>
      </dsp:txBody>
      <dsp:txXfrm>
        <a:off x="3521897" y="1579443"/>
        <a:ext cx="1118737" cy="5593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4">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4">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2015-08-01T00:00:00</PublishDate>
  <Abstract>This draft has been prepared by the Secretariat for consultation among member States and adoption by the 20th Senior Officials Meeting to be held in February 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1392C0-2DEE-B845-9CE7-C735D3A8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5673</Words>
  <Characters>32339</Characters>
  <Application>Microsoft Office Word</Application>
  <DocSecurity>0</DocSecurity>
  <Lines>269</Lines>
  <Paragraphs>75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(Draft) NEASPEC Strategic Plan 2016-2020</vt:lpstr>
      <vt:lpstr>(Draft) NEASPEC Strategic Plan 2016-2020</vt:lpstr>
    </vt:vector>
  </TitlesOfParts>
  <Company>North-east asian subregional programme for environmental cooperation</Company>
  <LinksUpToDate>false</LinksUpToDate>
  <CharactersWithSpaces>37937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NEASPEC Strategic Plan 2016-2020</dc:title>
  <dc:subject>2016-2020</dc:subject>
  <dc:creator>NEASPEC Secretariat</dc:creator>
  <cp:lastModifiedBy>Minkyung Hong</cp:lastModifiedBy>
  <cp:revision>3</cp:revision>
  <cp:lastPrinted>2020-09-15T04:08:00Z</cp:lastPrinted>
  <dcterms:created xsi:type="dcterms:W3CDTF">2020-09-15T04:08:00Z</dcterms:created>
  <dcterms:modified xsi:type="dcterms:W3CDTF">2020-09-15T04:08:00Z</dcterms:modified>
</cp:coreProperties>
</file>