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E3026" w14:textId="708A946A" w:rsidR="00F60FF6" w:rsidRPr="004610D7" w:rsidRDefault="002417CD" w:rsidP="00F60FF6">
      <w:pPr>
        <w:spacing w:line="300" w:lineRule="exact"/>
        <w:rPr>
          <w:iCs/>
          <w:color w:val="000000"/>
        </w:rPr>
      </w:pPr>
      <w:r>
        <w:rPr>
          <w:iCs/>
          <w:color w:val="000000"/>
        </w:rPr>
        <w:t xml:space="preserve"> </w:t>
      </w:r>
    </w:p>
    <w:tbl>
      <w:tblPr>
        <w:tblpPr w:leftFromText="142" w:rightFromText="142" w:vertAnchor="page" w:horzAnchor="page" w:tblpX="1375" w:tblpY="568"/>
        <w:tblOverlap w:val="never"/>
        <w:tblW w:w="9360" w:type="dxa"/>
        <w:tblLayout w:type="fixed"/>
        <w:tblCellMar>
          <w:left w:w="0" w:type="dxa"/>
          <w:right w:w="0" w:type="dxa"/>
        </w:tblCellMar>
        <w:tblLook w:val="01E0" w:firstRow="1" w:lastRow="1" w:firstColumn="1" w:lastColumn="1" w:noHBand="0" w:noVBand="0"/>
      </w:tblPr>
      <w:tblGrid>
        <w:gridCol w:w="3163"/>
        <w:gridCol w:w="3437"/>
        <w:gridCol w:w="2760"/>
      </w:tblGrid>
      <w:tr w:rsidR="00F60FF6" w:rsidRPr="004610D7" w14:paraId="0F78F4C7" w14:textId="77777777" w:rsidTr="008C03BE">
        <w:trPr>
          <w:cantSplit/>
          <w:trHeight w:hRule="exact" w:val="732"/>
        </w:trPr>
        <w:tc>
          <w:tcPr>
            <w:tcW w:w="3163" w:type="dxa"/>
            <w:tcBorders>
              <w:top w:val="single" w:sz="4" w:space="0" w:color="auto"/>
              <w:bottom w:val="single" w:sz="4" w:space="0" w:color="auto"/>
            </w:tcBorders>
          </w:tcPr>
          <w:p w14:paraId="79F9E7DC" w14:textId="77777777" w:rsidR="00F60FF6" w:rsidRPr="004610D7" w:rsidRDefault="00F60FF6" w:rsidP="008C03BE">
            <w:pPr>
              <w:spacing w:before="120"/>
              <w:rPr>
                <w:rFonts w:cs="Times New Roman"/>
                <w:b/>
                <w:bCs/>
                <w:lang w:val="en-GB"/>
              </w:rPr>
            </w:pPr>
          </w:p>
        </w:tc>
        <w:tc>
          <w:tcPr>
            <w:tcW w:w="3437" w:type="dxa"/>
            <w:tcBorders>
              <w:top w:val="single" w:sz="4" w:space="0" w:color="auto"/>
              <w:bottom w:val="single" w:sz="4" w:space="0" w:color="auto"/>
            </w:tcBorders>
          </w:tcPr>
          <w:p w14:paraId="0340DCC2" w14:textId="77777777" w:rsidR="00F60FF6" w:rsidRPr="004610D7" w:rsidRDefault="00F60FF6" w:rsidP="008C03BE">
            <w:pPr>
              <w:spacing w:before="120" w:line="420" w:lineRule="exact"/>
              <w:rPr>
                <w:rFonts w:cs="Times New Roman"/>
                <w:lang w:val="en-GB"/>
              </w:rPr>
            </w:pPr>
          </w:p>
        </w:tc>
        <w:tc>
          <w:tcPr>
            <w:tcW w:w="2760" w:type="dxa"/>
            <w:tcBorders>
              <w:top w:val="single" w:sz="4" w:space="0" w:color="auto"/>
              <w:bottom w:val="single" w:sz="4" w:space="0" w:color="auto"/>
            </w:tcBorders>
          </w:tcPr>
          <w:p w14:paraId="42FA1809" w14:textId="58CEFA49" w:rsidR="00F60FF6" w:rsidRPr="003748FC" w:rsidRDefault="00F60FF6" w:rsidP="003748FC">
            <w:pPr>
              <w:spacing w:before="240" w:line="240" w:lineRule="exact"/>
              <w:rPr>
                <w:rFonts w:ascii="Book Antiqua" w:hAnsi="Book Antiqua" w:cs="Times New Roman"/>
                <w:lang w:val="en-GB"/>
              </w:rPr>
            </w:pPr>
            <w:r w:rsidRPr="003748FC">
              <w:rPr>
                <w:rFonts w:ascii="Book Antiqua" w:hAnsi="Book Antiqua" w:cs="Times New Roman"/>
                <w:lang w:val="en-GB"/>
              </w:rPr>
              <w:t>NEASPEC/SOM</w:t>
            </w:r>
            <w:r w:rsidRPr="00C10F40">
              <w:rPr>
                <w:rFonts w:ascii="Book Antiqua" w:hAnsi="Book Antiqua" w:cs="Times New Roman"/>
                <w:lang w:val="en-GB"/>
              </w:rPr>
              <w:t>(2</w:t>
            </w:r>
            <w:r w:rsidR="00E35E47" w:rsidRPr="00C10F40">
              <w:rPr>
                <w:rFonts w:ascii="Book Antiqua" w:hAnsi="Book Antiqua" w:cs="Times New Roman"/>
                <w:lang w:val="en-GB"/>
              </w:rPr>
              <w:t>4</w:t>
            </w:r>
            <w:r w:rsidRPr="00C10F40">
              <w:rPr>
                <w:rFonts w:ascii="Book Antiqua" w:hAnsi="Book Antiqua" w:cs="Times New Roman"/>
                <w:lang w:val="en-GB"/>
              </w:rPr>
              <w:t>)</w:t>
            </w:r>
            <w:r w:rsidR="00250E45" w:rsidRPr="00C10F40">
              <w:rPr>
                <w:rFonts w:ascii="Book Antiqua" w:hAnsi="Book Antiqua" w:cs="Times New Roman"/>
                <w:lang w:val="en-GB"/>
              </w:rPr>
              <w:t>/</w:t>
            </w:r>
            <w:r w:rsidR="00034595">
              <w:rPr>
                <w:rFonts w:ascii="Book Antiqua" w:hAnsi="Book Antiqua" w:cs="Times New Roman"/>
                <w:lang w:val="en-GB"/>
              </w:rPr>
              <w:t>7</w:t>
            </w:r>
          </w:p>
        </w:tc>
      </w:tr>
      <w:tr w:rsidR="00F60FF6" w:rsidRPr="00AA3D18" w14:paraId="44B7CAAD" w14:textId="77777777" w:rsidTr="003748FC">
        <w:trPr>
          <w:cantSplit/>
          <w:trHeight w:hRule="exact" w:val="1399"/>
        </w:trPr>
        <w:tc>
          <w:tcPr>
            <w:tcW w:w="3163" w:type="dxa"/>
            <w:tcBorders>
              <w:top w:val="single" w:sz="4" w:space="0" w:color="auto"/>
              <w:bottom w:val="single" w:sz="12" w:space="0" w:color="auto"/>
            </w:tcBorders>
          </w:tcPr>
          <w:p w14:paraId="2E533229" w14:textId="77777777" w:rsidR="00F60FF6" w:rsidRPr="00AA3D18" w:rsidRDefault="00F60FF6" w:rsidP="008C03BE">
            <w:pPr>
              <w:spacing w:before="120"/>
              <w:rPr>
                <w:rFonts w:cs="Times New Roman"/>
                <w:b/>
                <w:bCs/>
                <w:lang w:val="en-GB"/>
              </w:rPr>
            </w:pPr>
            <w:r>
              <w:rPr>
                <w:noProof/>
              </w:rPr>
              <w:drawing>
                <wp:inline distT="0" distB="0" distL="0" distR="0" wp14:anchorId="0E20D46D" wp14:editId="1C820B81">
                  <wp:extent cx="1723549" cy="5583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0192" cy="560503"/>
                          </a:xfrm>
                          <a:prstGeom prst="rect">
                            <a:avLst/>
                          </a:prstGeom>
                          <a:noFill/>
                          <a:ln>
                            <a:noFill/>
                          </a:ln>
                          <a:effectLst/>
                        </pic:spPr>
                      </pic:pic>
                    </a:graphicData>
                  </a:graphic>
                </wp:inline>
              </w:drawing>
            </w:r>
          </w:p>
        </w:tc>
        <w:tc>
          <w:tcPr>
            <w:tcW w:w="3437" w:type="dxa"/>
            <w:tcBorders>
              <w:top w:val="single" w:sz="4" w:space="0" w:color="auto"/>
              <w:bottom w:val="single" w:sz="12" w:space="0" w:color="auto"/>
            </w:tcBorders>
          </w:tcPr>
          <w:p w14:paraId="48B82DC1" w14:textId="77777777" w:rsidR="00F60FF6" w:rsidRPr="00F954CB" w:rsidRDefault="00F60FF6" w:rsidP="008C03BE">
            <w:pPr>
              <w:spacing w:before="120" w:line="420" w:lineRule="exact"/>
              <w:rPr>
                <w:rFonts w:cs="Times New Roman"/>
              </w:rPr>
            </w:pPr>
          </w:p>
        </w:tc>
        <w:tc>
          <w:tcPr>
            <w:tcW w:w="2760" w:type="dxa"/>
            <w:tcBorders>
              <w:top w:val="single" w:sz="4" w:space="0" w:color="auto"/>
              <w:bottom w:val="single" w:sz="12" w:space="0" w:color="auto"/>
            </w:tcBorders>
          </w:tcPr>
          <w:p w14:paraId="5CC01D4D" w14:textId="77777777" w:rsidR="00F60FF6" w:rsidRPr="003748FC" w:rsidRDefault="00F60FF6" w:rsidP="008C03BE">
            <w:pPr>
              <w:ind w:left="120"/>
              <w:rPr>
                <w:rFonts w:ascii="Book Antiqua" w:eastAsia="Batang" w:hAnsi="Book Antiqua" w:cs="Times New Roman"/>
                <w:szCs w:val="24"/>
              </w:rPr>
            </w:pPr>
          </w:p>
          <w:p w14:paraId="51310B28" w14:textId="77777777" w:rsidR="00F60FF6" w:rsidRPr="003748FC" w:rsidRDefault="00F60FF6" w:rsidP="008C03BE">
            <w:pPr>
              <w:rPr>
                <w:rFonts w:ascii="Book Antiqua" w:eastAsia="SimSun" w:hAnsi="Book Antiqua" w:cs="Times New Roman"/>
              </w:rPr>
            </w:pPr>
            <w:r w:rsidRPr="003748FC">
              <w:rPr>
                <w:rFonts w:ascii="Book Antiqua" w:eastAsia="SimSun" w:hAnsi="Book Antiqua" w:cs="Times New Roman"/>
              </w:rPr>
              <w:t>Distr.: Limited</w:t>
            </w:r>
          </w:p>
          <w:p w14:paraId="6185E4DB" w14:textId="373BE2FE" w:rsidR="00F60FF6" w:rsidRPr="003748FC" w:rsidRDefault="00C10F40" w:rsidP="008C03BE">
            <w:pPr>
              <w:rPr>
                <w:rFonts w:ascii="Book Antiqua" w:eastAsia="SimSun" w:hAnsi="Book Antiqua" w:cs="Times New Roman"/>
              </w:rPr>
            </w:pPr>
            <w:r>
              <w:rPr>
                <w:rFonts w:ascii="Book Antiqua" w:eastAsia="SimSun" w:hAnsi="Book Antiqua" w:cs="Times New Roman"/>
              </w:rPr>
              <w:t>17</w:t>
            </w:r>
            <w:r w:rsidRPr="0077238F">
              <w:rPr>
                <w:rFonts w:ascii="Book Antiqua" w:eastAsia="SimSun" w:hAnsi="Book Antiqua" w:cs="Times New Roman"/>
              </w:rPr>
              <w:t xml:space="preserve"> </w:t>
            </w:r>
            <w:r w:rsidR="00717D95" w:rsidRPr="0077238F">
              <w:rPr>
                <w:rFonts w:ascii="Book Antiqua" w:eastAsia="SimSun" w:hAnsi="Book Antiqua" w:cs="Times New Roman"/>
              </w:rPr>
              <w:t xml:space="preserve">September </w:t>
            </w:r>
            <w:r w:rsidR="001676ED" w:rsidRPr="0077238F">
              <w:rPr>
                <w:rFonts w:ascii="Book Antiqua" w:eastAsia="SimSun" w:hAnsi="Book Antiqua" w:cs="Times New Roman"/>
              </w:rPr>
              <w:t>20</w:t>
            </w:r>
            <w:r w:rsidR="00E35E47">
              <w:rPr>
                <w:rFonts w:ascii="Book Antiqua" w:eastAsia="SimSun" w:hAnsi="Book Antiqua" w:cs="Times New Roman"/>
              </w:rPr>
              <w:t>20</w:t>
            </w:r>
            <w:r w:rsidR="001676ED">
              <w:rPr>
                <w:rFonts w:ascii="Book Antiqua" w:eastAsia="SimSun" w:hAnsi="Book Antiqua" w:cs="Times New Roman"/>
              </w:rPr>
              <w:t xml:space="preserve"> </w:t>
            </w:r>
          </w:p>
          <w:p w14:paraId="68A991E7" w14:textId="77777777" w:rsidR="00F60FF6" w:rsidRPr="003748FC" w:rsidRDefault="00F60FF6" w:rsidP="008C03BE">
            <w:pPr>
              <w:rPr>
                <w:rFonts w:ascii="Book Antiqua" w:eastAsia="SimSun" w:hAnsi="Book Antiqua" w:cs="Times New Roman"/>
              </w:rPr>
            </w:pPr>
          </w:p>
          <w:p w14:paraId="4C4F3DC8" w14:textId="77777777" w:rsidR="00F60FF6" w:rsidRPr="003748FC" w:rsidRDefault="00F60FF6" w:rsidP="008C03BE">
            <w:pPr>
              <w:rPr>
                <w:rFonts w:ascii="Book Antiqua" w:eastAsia="SimSun" w:hAnsi="Book Antiqua" w:cs="Times New Roman"/>
              </w:rPr>
            </w:pPr>
            <w:r w:rsidRPr="003748FC">
              <w:rPr>
                <w:rFonts w:ascii="Book Antiqua" w:eastAsia="SimSun" w:hAnsi="Book Antiqua" w:cs="Times New Roman"/>
              </w:rPr>
              <w:t>English only</w:t>
            </w:r>
          </w:p>
          <w:p w14:paraId="17020CF5" w14:textId="77777777" w:rsidR="00F60FF6" w:rsidRPr="003748FC" w:rsidRDefault="00F60FF6" w:rsidP="008C03BE">
            <w:pPr>
              <w:ind w:left="43"/>
              <w:rPr>
                <w:rFonts w:ascii="Book Antiqua" w:hAnsi="Book Antiqua" w:cs="Times New Roman"/>
              </w:rPr>
            </w:pPr>
            <w:r w:rsidRPr="003748FC">
              <w:rPr>
                <w:rFonts w:ascii="Book Antiqua" w:hAnsi="Book Antiqua" w:cs="Times New Roman"/>
              </w:rPr>
              <w:t xml:space="preserve"> </w:t>
            </w:r>
          </w:p>
        </w:tc>
      </w:tr>
    </w:tbl>
    <w:p w14:paraId="59E7271D" w14:textId="77777777" w:rsidR="00F60FF6" w:rsidRPr="003748FC" w:rsidRDefault="00F60FF6" w:rsidP="00F60FF6">
      <w:pPr>
        <w:snapToGrid w:val="0"/>
        <w:spacing w:after="120" w:line="340" w:lineRule="atLeast"/>
        <w:rPr>
          <w:rFonts w:ascii="Book Antiqua" w:hAnsi="Book Antiqua"/>
          <w:b/>
          <w:bCs/>
          <w:color w:val="000000"/>
        </w:rPr>
      </w:pPr>
      <w:r w:rsidRPr="003748FC">
        <w:rPr>
          <w:rFonts w:ascii="Book Antiqua" w:hAnsi="Book Antiqua"/>
          <w:b/>
          <w:bCs/>
          <w:color w:val="000000"/>
        </w:rPr>
        <w:t>UNITED NATIONS</w:t>
      </w:r>
    </w:p>
    <w:p w14:paraId="13D45C54" w14:textId="77777777" w:rsidR="00F60FF6" w:rsidRPr="003748FC" w:rsidRDefault="00F60FF6" w:rsidP="00F60FF6">
      <w:pPr>
        <w:snapToGrid w:val="0"/>
        <w:spacing w:after="120" w:line="340" w:lineRule="atLeast"/>
        <w:rPr>
          <w:rFonts w:ascii="Book Antiqua" w:hAnsi="Book Antiqua"/>
          <w:b/>
          <w:bCs/>
          <w:color w:val="000000"/>
        </w:rPr>
      </w:pPr>
      <w:r w:rsidRPr="003748FC">
        <w:rPr>
          <w:rFonts w:ascii="Book Antiqua" w:hAnsi="Book Antiqua"/>
          <w:b/>
          <w:bCs/>
          <w:color w:val="000000"/>
        </w:rPr>
        <w:t>ECONOMIC AND SOCIAL COMMISSION FOR ASIA AND THE PACIFIC</w:t>
      </w:r>
    </w:p>
    <w:p w14:paraId="54E6BF5B" w14:textId="4EA2CCD2" w:rsidR="00F60FF6" w:rsidRPr="003748FC" w:rsidRDefault="00F60FF6" w:rsidP="00F60FF6">
      <w:pPr>
        <w:snapToGrid w:val="0"/>
        <w:spacing w:after="120" w:line="340" w:lineRule="atLeast"/>
        <w:rPr>
          <w:rFonts w:ascii="Book Antiqua" w:hAnsi="Book Antiqua" w:cs="Arial"/>
          <w:iCs/>
          <w:color w:val="000000"/>
        </w:rPr>
      </w:pPr>
      <w:r w:rsidRPr="003748FC">
        <w:rPr>
          <w:rFonts w:ascii="Book Antiqua" w:hAnsi="Book Antiqua" w:cs="Arial"/>
          <w:iCs/>
          <w:color w:val="000000"/>
        </w:rPr>
        <w:t>Twent</w:t>
      </w:r>
      <w:r w:rsidR="009728C4">
        <w:rPr>
          <w:rFonts w:ascii="Book Antiqua" w:hAnsi="Book Antiqua" w:cs="Arial"/>
          <w:iCs/>
          <w:color w:val="000000"/>
        </w:rPr>
        <w:t>y-</w:t>
      </w:r>
      <w:r w:rsidR="00E35E47">
        <w:rPr>
          <w:rFonts w:ascii="Book Antiqua" w:hAnsi="Book Antiqua" w:cs="Arial"/>
          <w:iCs/>
          <w:color w:val="000000"/>
        </w:rPr>
        <w:t>fourth</w:t>
      </w:r>
      <w:r w:rsidRPr="003748FC">
        <w:rPr>
          <w:rFonts w:ascii="Book Antiqua" w:hAnsi="Book Antiqua" w:cs="Arial"/>
          <w:iCs/>
          <w:color w:val="000000"/>
        </w:rPr>
        <w:t xml:space="preserve"> Senior Officials Meeting (SOM) of NEASPEC</w:t>
      </w:r>
    </w:p>
    <w:p w14:paraId="3347F2C8" w14:textId="543FA81D" w:rsidR="00F60FF6" w:rsidRPr="003748FC" w:rsidRDefault="00E35E47" w:rsidP="00F60FF6">
      <w:pPr>
        <w:snapToGrid w:val="0"/>
        <w:spacing w:after="120" w:line="340" w:lineRule="atLeast"/>
        <w:rPr>
          <w:rFonts w:ascii="Book Antiqua" w:hAnsi="Book Antiqua"/>
          <w:color w:val="000000"/>
        </w:rPr>
      </w:pPr>
      <w:r>
        <w:rPr>
          <w:rFonts w:ascii="Book Antiqua" w:hAnsi="Book Antiqua"/>
          <w:color w:val="000000"/>
        </w:rPr>
        <w:t>12</w:t>
      </w:r>
      <w:r w:rsidR="009728C4">
        <w:rPr>
          <w:rFonts w:ascii="Book Antiqua" w:hAnsi="Book Antiqua"/>
          <w:color w:val="000000"/>
        </w:rPr>
        <w:t>-</w:t>
      </w:r>
      <w:r w:rsidR="00713B41">
        <w:rPr>
          <w:rFonts w:ascii="Book Antiqua" w:hAnsi="Book Antiqua"/>
          <w:color w:val="000000"/>
        </w:rPr>
        <w:t>1</w:t>
      </w:r>
      <w:r>
        <w:rPr>
          <w:rFonts w:ascii="Book Antiqua" w:hAnsi="Book Antiqua"/>
          <w:color w:val="000000"/>
        </w:rPr>
        <w:t>3</w:t>
      </w:r>
      <w:r w:rsidR="009728C4">
        <w:rPr>
          <w:rFonts w:ascii="Book Antiqua" w:hAnsi="Book Antiqua"/>
          <w:color w:val="000000"/>
        </w:rPr>
        <w:t xml:space="preserve"> October 20</w:t>
      </w:r>
      <w:r>
        <w:rPr>
          <w:rFonts w:ascii="Book Antiqua" w:hAnsi="Book Antiqua"/>
          <w:color w:val="000000"/>
        </w:rPr>
        <w:t>20</w:t>
      </w:r>
    </w:p>
    <w:p w14:paraId="6A39ABA2" w14:textId="31157EC5" w:rsidR="00F60FF6" w:rsidRPr="003748FC" w:rsidRDefault="00E35E47" w:rsidP="00F60FF6">
      <w:pPr>
        <w:spacing w:after="120" w:line="340" w:lineRule="atLeast"/>
        <w:rPr>
          <w:rFonts w:ascii="Book Antiqua" w:hAnsi="Book Antiqua"/>
          <w:iCs/>
          <w:color w:val="000000"/>
        </w:rPr>
      </w:pPr>
      <w:r>
        <w:rPr>
          <w:rFonts w:ascii="Book Antiqua" w:hAnsi="Book Antiqua"/>
          <w:iCs/>
          <w:color w:val="000000"/>
        </w:rPr>
        <w:t>Virtual meeting</w:t>
      </w:r>
    </w:p>
    <w:p w14:paraId="417A62E8" w14:textId="77777777" w:rsidR="00F60FF6" w:rsidRPr="003748FC" w:rsidRDefault="00F60FF6" w:rsidP="00F60FF6">
      <w:pPr>
        <w:spacing w:after="120" w:line="340" w:lineRule="atLeast"/>
        <w:rPr>
          <w:rFonts w:ascii="Book Antiqua" w:hAnsi="Book Antiqua"/>
          <w:iCs/>
          <w:color w:val="000000"/>
        </w:rPr>
      </w:pPr>
    </w:p>
    <w:p w14:paraId="0F313E31" w14:textId="13CA6C7A" w:rsidR="00F60FF6" w:rsidRPr="003748FC" w:rsidRDefault="00507373" w:rsidP="00F60FF6">
      <w:pPr>
        <w:spacing w:after="120" w:line="340" w:lineRule="atLeast"/>
        <w:jc w:val="center"/>
        <w:rPr>
          <w:rFonts w:ascii="Book Antiqua" w:hAnsi="Book Antiqua"/>
          <w:b/>
          <w:bCs/>
          <w:iCs/>
          <w:color w:val="000000"/>
        </w:rPr>
      </w:pPr>
      <w:r>
        <w:rPr>
          <w:rFonts w:ascii="Book Antiqua" w:hAnsi="Book Antiqua"/>
          <w:b/>
          <w:bCs/>
          <w:color w:val="000000"/>
        </w:rPr>
        <w:t xml:space="preserve">Review of the </w:t>
      </w:r>
      <w:r w:rsidR="00713B41">
        <w:rPr>
          <w:rFonts w:ascii="Book Antiqua" w:hAnsi="Book Antiqua"/>
          <w:b/>
          <w:bCs/>
          <w:color w:val="000000"/>
        </w:rPr>
        <w:t>NEASPEC Strategic Plan</w:t>
      </w:r>
    </w:p>
    <w:p w14:paraId="6F2BA475" w14:textId="0DD05188" w:rsidR="00F60FF6" w:rsidRPr="003748FC" w:rsidRDefault="00F60FF6" w:rsidP="00F60FF6">
      <w:pPr>
        <w:spacing w:after="120" w:line="340" w:lineRule="atLeast"/>
        <w:jc w:val="center"/>
        <w:rPr>
          <w:rFonts w:ascii="Book Antiqua" w:hAnsi="Book Antiqua"/>
          <w:iCs/>
          <w:color w:val="000000"/>
        </w:rPr>
      </w:pPr>
      <w:r w:rsidRPr="003748FC">
        <w:rPr>
          <w:rFonts w:ascii="Book Antiqua" w:hAnsi="Book Antiqua"/>
          <w:iCs/>
          <w:color w:val="000000"/>
        </w:rPr>
        <w:t>(Item (</w:t>
      </w:r>
      <w:r w:rsidR="00F57069">
        <w:rPr>
          <w:rFonts w:ascii="Book Antiqua" w:hAnsi="Book Antiqua"/>
          <w:iCs/>
          <w:color w:val="000000"/>
        </w:rPr>
        <w:t>6</w:t>
      </w:r>
      <w:r w:rsidRPr="003748FC">
        <w:rPr>
          <w:rFonts w:ascii="Book Antiqua" w:hAnsi="Book Antiqua"/>
          <w:iCs/>
          <w:color w:val="000000"/>
        </w:rPr>
        <w:t>) of the provisional agenda)</w:t>
      </w:r>
    </w:p>
    <w:p w14:paraId="69617DB6" w14:textId="121176FF" w:rsidR="00F60FF6" w:rsidRPr="003748FC" w:rsidRDefault="007578E7" w:rsidP="007578E7">
      <w:pPr>
        <w:snapToGrid w:val="0"/>
        <w:ind w:right="29"/>
        <w:jc w:val="center"/>
        <w:rPr>
          <w:rFonts w:ascii="Book Antiqua" w:hAnsi="Book Antiqua"/>
          <w:b/>
          <w:bCs/>
          <w:color w:val="000000"/>
        </w:rPr>
      </w:pPr>
      <w:r w:rsidRPr="007578E7">
        <w:rPr>
          <w:rFonts w:ascii="Book Antiqua" w:hAnsi="Book Antiqua"/>
          <w:b/>
          <w:bCs/>
          <w:color w:val="000000"/>
        </w:rPr>
        <w:t>Report on the evaluation of the NEASPEC</w:t>
      </w:r>
    </w:p>
    <w:p w14:paraId="50E26EB3" w14:textId="77777777" w:rsidR="00646BB0" w:rsidRDefault="00646BB0" w:rsidP="00F60FF6">
      <w:pPr>
        <w:snapToGrid w:val="0"/>
        <w:ind w:right="29"/>
        <w:jc w:val="center"/>
        <w:rPr>
          <w:rFonts w:ascii="Book Antiqua" w:hAnsi="Book Antiqua"/>
          <w:bCs/>
          <w:i/>
          <w:color w:val="000000"/>
        </w:rPr>
      </w:pPr>
    </w:p>
    <w:p w14:paraId="5C208CC7" w14:textId="005B7D4C" w:rsidR="00F60FF6" w:rsidRDefault="00F60FF6" w:rsidP="00F60FF6">
      <w:pPr>
        <w:snapToGrid w:val="0"/>
        <w:ind w:right="29"/>
        <w:jc w:val="center"/>
        <w:rPr>
          <w:rFonts w:ascii="Book Antiqua" w:hAnsi="Book Antiqua"/>
          <w:bCs/>
          <w:i/>
          <w:color w:val="000000"/>
        </w:rPr>
      </w:pPr>
      <w:r w:rsidRPr="003748FC">
        <w:rPr>
          <w:rFonts w:ascii="Book Antiqua" w:hAnsi="Book Antiqua"/>
          <w:bCs/>
          <w:i/>
          <w:color w:val="000000"/>
        </w:rPr>
        <w:t>Note by the Secretariat</w:t>
      </w:r>
    </w:p>
    <w:p w14:paraId="5FBE04DE" w14:textId="3AAD7E12" w:rsidR="00617598" w:rsidRDefault="00617598" w:rsidP="00F60FF6">
      <w:pPr>
        <w:snapToGrid w:val="0"/>
        <w:ind w:right="29"/>
        <w:jc w:val="center"/>
        <w:rPr>
          <w:rFonts w:ascii="Book Antiqua" w:hAnsi="Book Antiqua"/>
          <w:bCs/>
          <w:i/>
          <w:color w:val="000000"/>
        </w:rPr>
      </w:pPr>
    </w:p>
    <w:sdt>
      <w:sdtPr>
        <w:rPr>
          <w:rFonts w:asciiTheme="minorHAnsi" w:eastAsiaTheme="minorEastAsia" w:hAnsiTheme="minorHAnsi" w:cstheme="minorBidi"/>
          <w:b w:val="0"/>
          <w:bCs w:val="0"/>
          <w:color w:val="auto"/>
          <w:sz w:val="22"/>
          <w:szCs w:val="22"/>
          <w:lang w:eastAsia="ko-KR"/>
        </w:rPr>
        <w:id w:val="879441653"/>
        <w:docPartObj>
          <w:docPartGallery w:val="Table of Contents"/>
          <w:docPartUnique/>
        </w:docPartObj>
      </w:sdtPr>
      <w:sdtEndPr>
        <w:rPr>
          <w:noProof/>
        </w:rPr>
      </w:sdtEndPr>
      <w:sdtContent>
        <w:p w14:paraId="26F52DAC" w14:textId="4412A44C" w:rsidR="0060182A" w:rsidRPr="0060182A" w:rsidRDefault="0060182A" w:rsidP="0060182A">
          <w:pPr>
            <w:pStyle w:val="TOCHeading"/>
            <w:jc w:val="center"/>
            <w:rPr>
              <w:rFonts w:ascii="Book Antiqua" w:hAnsi="Book Antiqua"/>
              <w:caps/>
              <w:color w:val="000000" w:themeColor="text1"/>
              <w:sz w:val="22"/>
              <w:szCs w:val="22"/>
            </w:rPr>
          </w:pPr>
          <w:r w:rsidRPr="00596903">
            <w:rPr>
              <w:rFonts w:ascii="Book Antiqua" w:hAnsi="Book Antiqua"/>
              <w:caps/>
              <w:color w:val="000000" w:themeColor="text1"/>
              <w:sz w:val="22"/>
              <w:szCs w:val="22"/>
            </w:rPr>
            <w:t>Contents</w:t>
          </w:r>
        </w:p>
        <w:p w14:paraId="40A73208" w14:textId="1657D679" w:rsidR="005D24E2" w:rsidRDefault="0060182A">
          <w:pPr>
            <w:pStyle w:val="TOC1"/>
            <w:rPr>
              <w:rFonts w:asciiTheme="minorHAnsi" w:eastAsiaTheme="minorEastAsia" w:hAnsiTheme="minorHAnsi" w:cstheme="minorBidi"/>
              <w:caps w:val="0"/>
              <w:lang w:eastAsia="ko-KR"/>
            </w:rPr>
          </w:pPr>
          <w:r>
            <w:rPr>
              <w:rFonts w:eastAsia="Malgun Gothic" w:cs="Angsana New"/>
              <w:b/>
              <w:bCs/>
              <w:sz w:val="20"/>
              <w:szCs w:val="25"/>
            </w:rPr>
            <w:fldChar w:fldCharType="begin"/>
          </w:r>
          <w:r>
            <w:rPr>
              <w:b/>
              <w:bCs/>
            </w:rPr>
            <w:instrText xml:space="preserve"> TOC \o "1-3" \h \z \u </w:instrText>
          </w:r>
          <w:r>
            <w:rPr>
              <w:rFonts w:eastAsia="Malgun Gothic" w:cs="Angsana New"/>
              <w:b/>
              <w:bCs/>
              <w:sz w:val="20"/>
              <w:szCs w:val="25"/>
            </w:rPr>
            <w:fldChar w:fldCharType="separate"/>
          </w:r>
          <w:hyperlink w:anchor="_Toc50472643" w:history="1">
            <w:r w:rsidR="005D24E2" w:rsidRPr="00172861">
              <w:rPr>
                <w:rStyle w:val="Hyperlink"/>
              </w:rPr>
              <w:t>I.</w:t>
            </w:r>
            <w:r w:rsidR="005D24E2">
              <w:rPr>
                <w:rFonts w:asciiTheme="minorHAnsi" w:eastAsiaTheme="minorEastAsia" w:hAnsiTheme="minorHAnsi" w:cstheme="minorBidi"/>
                <w:caps w:val="0"/>
                <w:lang w:eastAsia="ko-KR"/>
              </w:rPr>
              <w:tab/>
            </w:r>
            <w:r w:rsidR="005D24E2" w:rsidRPr="00172861">
              <w:rPr>
                <w:rStyle w:val="Hyperlink"/>
              </w:rPr>
              <w:t>BACKGROUND</w:t>
            </w:r>
            <w:r w:rsidR="005D24E2">
              <w:rPr>
                <w:webHidden/>
              </w:rPr>
              <w:tab/>
            </w:r>
            <w:r w:rsidR="005D24E2">
              <w:rPr>
                <w:webHidden/>
              </w:rPr>
              <w:fldChar w:fldCharType="begin"/>
            </w:r>
            <w:r w:rsidR="005D24E2">
              <w:rPr>
                <w:webHidden/>
              </w:rPr>
              <w:instrText xml:space="preserve"> PAGEREF _Toc50472643 \h </w:instrText>
            </w:r>
            <w:r w:rsidR="005D24E2">
              <w:rPr>
                <w:webHidden/>
              </w:rPr>
            </w:r>
            <w:r w:rsidR="005D24E2">
              <w:rPr>
                <w:webHidden/>
              </w:rPr>
              <w:fldChar w:fldCharType="separate"/>
            </w:r>
            <w:r w:rsidR="007164E3">
              <w:rPr>
                <w:webHidden/>
              </w:rPr>
              <w:t>2</w:t>
            </w:r>
            <w:r w:rsidR="005D24E2">
              <w:rPr>
                <w:webHidden/>
              </w:rPr>
              <w:fldChar w:fldCharType="end"/>
            </w:r>
          </w:hyperlink>
        </w:p>
        <w:p w14:paraId="69372BF4" w14:textId="40FC5128" w:rsidR="005D24E2" w:rsidRDefault="007164E3">
          <w:pPr>
            <w:pStyle w:val="TOC1"/>
            <w:rPr>
              <w:rFonts w:asciiTheme="minorHAnsi" w:eastAsiaTheme="minorEastAsia" w:hAnsiTheme="minorHAnsi" w:cstheme="minorBidi"/>
              <w:caps w:val="0"/>
              <w:lang w:eastAsia="ko-KR"/>
            </w:rPr>
          </w:pPr>
          <w:hyperlink w:anchor="_Toc50472644" w:history="1">
            <w:r w:rsidR="005D24E2" w:rsidRPr="00172861">
              <w:rPr>
                <w:rStyle w:val="Hyperlink"/>
              </w:rPr>
              <w:t>II.</w:t>
            </w:r>
            <w:r w:rsidR="005D24E2">
              <w:rPr>
                <w:rFonts w:asciiTheme="minorHAnsi" w:eastAsiaTheme="minorEastAsia" w:hAnsiTheme="minorHAnsi" w:cstheme="minorBidi"/>
                <w:caps w:val="0"/>
                <w:lang w:eastAsia="ko-KR"/>
              </w:rPr>
              <w:tab/>
            </w:r>
            <w:r w:rsidR="005D24E2" w:rsidRPr="00172861">
              <w:rPr>
                <w:rStyle w:val="Hyperlink"/>
              </w:rPr>
              <w:t>purpose aNd method</w:t>
            </w:r>
            <w:r w:rsidR="005D24E2">
              <w:rPr>
                <w:webHidden/>
              </w:rPr>
              <w:tab/>
            </w:r>
            <w:r w:rsidR="005D24E2">
              <w:rPr>
                <w:webHidden/>
              </w:rPr>
              <w:fldChar w:fldCharType="begin"/>
            </w:r>
            <w:r w:rsidR="005D24E2">
              <w:rPr>
                <w:webHidden/>
              </w:rPr>
              <w:instrText xml:space="preserve"> PAGEREF _Toc50472644 \h </w:instrText>
            </w:r>
            <w:r w:rsidR="005D24E2">
              <w:rPr>
                <w:webHidden/>
              </w:rPr>
            </w:r>
            <w:r w:rsidR="005D24E2">
              <w:rPr>
                <w:webHidden/>
              </w:rPr>
              <w:fldChar w:fldCharType="separate"/>
            </w:r>
            <w:r>
              <w:rPr>
                <w:webHidden/>
              </w:rPr>
              <w:t>2</w:t>
            </w:r>
            <w:r w:rsidR="005D24E2">
              <w:rPr>
                <w:webHidden/>
              </w:rPr>
              <w:fldChar w:fldCharType="end"/>
            </w:r>
          </w:hyperlink>
        </w:p>
        <w:p w14:paraId="049E21AF" w14:textId="7BCC2995" w:rsidR="005D24E2" w:rsidRDefault="007164E3">
          <w:pPr>
            <w:pStyle w:val="TOC1"/>
            <w:rPr>
              <w:rFonts w:asciiTheme="minorHAnsi" w:eastAsiaTheme="minorEastAsia" w:hAnsiTheme="minorHAnsi" w:cstheme="minorBidi"/>
              <w:caps w:val="0"/>
              <w:lang w:eastAsia="ko-KR"/>
            </w:rPr>
          </w:pPr>
          <w:hyperlink w:anchor="_Toc50472645" w:history="1">
            <w:r w:rsidR="005D24E2" w:rsidRPr="00172861">
              <w:rPr>
                <w:rStyle w:val="Hyperlink"/>
              </w:rPr>
              <w:t>III.</w:t>
            </w:r>
            <w:r w:rsidR="005D24E2">
              <w:rPr>
                <w:rFonts w:asciiTheme="minorHAnsi" w:eastAsiaTheme="minorEastAsia" w:hAnsiTheme="minorHAnsi" w:cstheme="minorBidi"/>
                <w:caps w:val="0"/>
                <w:lang w:eastAsia="ko-KR"/>
              </w:rPr>
              <w:tab/>
            </w:r>
            <w:r w:rsidR="005D24E2" w:rsidRPr="00172861">
              <w:rPr>
                <w:rStyle w:val="Hyperlink"/>
              </w:rPr>
              <w:t>CONCLUSIONS AND RECOMMENDATIONS</w:t>
            </w:r>
            <w:r w:rsidR="005D24E2">
              <w:rPr>
                <w:webHidden/>
              </w:rPr>
              <w:tab/>
            </w:r>
            <w:r w:rsidR="005D24E2">
              <w:rPr>
                <w:webHidden/>
              </w:rPr>
              <w:fldChar w:fldCharType="begin"/>
            </w:r>
            <w:r w:rsidR="005D24E2">
              <w:rPr>
                <w:webHidden/>
              </w:rPr>
              <w:instrText xml:space="preserve"> PAGEREF _Toc50472645 \h </w:instrText>
            </w:r>
            <w:r w:rsidR="005D24E2">
              <w:rPr>
                <w:webHidden/>
              </w:rPr>
            </w:r>
            <w:r w:rsidR="005D24E2">
              <w:rPr>
                <w:webHidden/>
              </w:rPr>
              <w:fldChar w:fldCharType="separate"/>
            </w:r>
            <w:r>
              <w:rPr>
                <w:webHidden/>
              </w:rPr>
              <w:t>3</w:t>
            </w:r>
            <w:r w:rsidR="005D24E2">
              <w:rPr>
                <w:webHidden/>
              </w:rPr>
              <w:fldChar w:fldCharType="end"/>
            </w:r>
          </w:hyperlink>
        </w:p>
        <w:p w14:paraId="417EFB95" w14:textId="3A402051" w:rsidR="005D24E2" w:rsidRDefault="007164E3">
          <w:pPr>
            <w:pStyle w:val="TOC1"/>
            <w:rPr>
              <w:rFonts w:asciiTheme="minorHAnsi" w:eastAsiaTheme="minorEastAsia" w:hAnsiTheme="minorHAnsi" w:cstheme="minorBidi"/>
              <w:caps w:val="0"/>
              <w:lang w:eastAsia="ko-KR"/>
            </w:rPr>
          </w:pPr>
          <w:hyperlink w:anchor="_Toc50472646" w:history="1">
            <w:r w:rsidR="005D24E2" w:rsidRPr="00172861">
              <w:rPr>
                <w:rStyle w:val="Hyperlink"/>
              </w:rPr>
              <w:t>IV.</w:t>
            </w:r>
            <w:r w:rsidR="005D24E2">
              <w:rPr>
                <w:rFonts w:asciiTheme="minorHAnsi" w:eastAsiaTheme="minorEastAsia" w:hAnsiTheme="minorHAnsi" w:cstheme="minorBidi"/>
                <w:caps w:val="0"/>
                <w:lang w:eastAsia="ko-KR"/>
              </w:rPr>
              <w:tab/>
            </w:r>
            <w:r w:rsidR="005D24E2" w:rsidRPr="00172861">
              <w:rPr>
                <w:rStyle w:val="Hyperlink"/>
              </w:rPr>
              <w:t>Issues FOR consideration</w:t>
            </w:r>
            <w:r w:rsidR="005D24E2">
              <w:rPr>
                <w:webHidden/>
              </w:rPr>
              <w:tab/>
            </w:r>
            <w:r w:rsidR="005D24E2">
              <w:rPr>
                <w:webHidden/>
              </w:rPr>
              <w:fldChar w:fldCharType="begin"/>
            </w:r>
            <w:r w:rsidR="005D24E2">
              <w:rPr>
                <w:webHidden/>
              </w:rPr>
              <w:instrText xml:space="preserve"> PAGEREF _Toc50472646 \h </w:instrText>
            </w:r>
            <w:r w:rsidR="005D24E2">
              <w:rPr>
                <w:webHidden/>
              </w:rPr>
            </w:r>
            <w:r w:rsidR="005D24E2">
              <w:rPr>
                <w:webHidden/>
              </w:rPr>
              <w:fldChar w:fldCharType="separate"/>
            </w:r>
            <w:r>
              <w:rPr>
                <w:webHidden/>
              </w:rPr>
              <w:t>8</w:t>
            </w:r>
            <w:r w:rsidR="005D24E2">
              <w:rPr>
                <w:webHidden/>
              </w:rPr>
              <w:fldChar w:fldCharType="end"/>
            </w:r>
          </w:hyperlink>
        </w:p>
        <w:p w14:paraId="26E5F38E" w14:textId="042D9676" w:rsidR="0060182A" w:rsidRDefault="0060182A">
          <w:r>
            <w:rPr>
              <w:b/>
              <w:bCs/>
              <w:noProof/>
            </w:rPr>
            <w:fldChar w:fldCharType="end"/>
          </w:r>
        </w:p>
      </w:sdtContent>
    </w:sdt>
    <w:p w14:paraId="05F888DD" w14:textId="77777777" w:rsidR="0058034A" w:rsidRDefault="0058034A" w:rsidP="0058034A">
      <w:pPr>
        <w:rPr>
          <w:rFonts w:ascii="Book Antiqua" w:hAnsi="Book Antiqua"/>
          <w:color w:val="000000"/>
        </w:rPr>
      </w:pPr>
    </w:p>
    <w:p w14:paraId="0459E37E" w14:textId="04025446" w:rsidR="0058034A" w:rsidRDefault="002C271B" w:rsidP="0058034A">
      <w:pPr>
        <w:rPr>
          <w:rFonts w:ascii="Book Antiqua" w:hAnsi="Book Antiqua"/>
          <w:color w:val="000000"/>
        </w:rPr>
      </w:pPr>
      <w:r>
        <w:rPr>
          <w:rFonts w:ascii="Book Antiqua" w:hAnsi="Book Antiqua"/>
          <w:color w:val="000000"/>
        </w:rPr>
        <w:t>A</w:t>
      </w:r>
      <w:r w:rsidR="00646BB0">
        <w:rPr>
          <w:rFonts w:ascii="Book Antiqua" w:hAnsi="Book Antiqua"/>
          <w:color w:val="000000"/>
        </w:rPr>
        <w:t>nnex</w:t>
      </w:r>
      <w:r>
        <w:rPr>
          <w:rFonts w:ascii="Book Antiqua" w:hAnsi="Book Antiqua"/>
          <w:color w:val="000000"/>
        </w:rPr>
        <w:t xml:space="preserve">: </w:t>
      </w:r>
      <w:r w:rsidR="007578E7">
        <w:rPr>
          <w:rFonts w:ascii="Book Antiqua" w:hAnsi="Book Antiqua"/>
          <w:color w:val="000000"/>
        </w:rPr>
        <w:t xml:space="preserve">Evaluation of NEASPEC </w:t>
      </w:r>
    </w:p>
    <w:p w14:paraId="4FF5D336" w14:textId="2A8540E3" w:rsidR="001B1388" w:rsidRPr="0072006B" w:rsidRDefault="0077238F" w:rsidP="0072006B">
      <w:pPr>
        <w:pStyle w:val="Heading1"/>
        <w:numPr>
          <w:ilvl w:val="0"/>
          <w:numId w:val="1"/>
        </w:numPr>
        <w:spacing w:after="240"/>
        <w:jc w:val="center"/>
        <w:rPr>
          <w:rFonts w:ascii="Book Antiqua" w:hAnsi="Book Antiqua"/>
          <w:color w:val="auto"/>
          <w:sz w:val="22"/>
          <w:szCs w:val="22"/>
        </w:rPr>
      </w:pPr>
      <w:r>
        <w:rPr>
          <w:rFonts w:ascii="Book Antiqua" w:hAnsi="Book Antiqua"/>
          <w:color w:val="000000"/>
        </w:rPr>
        <w:br w:type="page"/>
      </w:r>
      <w:bookmarkStart w:id="0" w:name="_Toc50472643"/>
      <w:r w:rsidR="008D46F9">
        <w:rPr>
          <w:rFonts w:ascii="Book Antiqua" w:hAnsi="Book Antiqua"/>
          <w:color w:val="auto"/>
          <w:sz w:val="22"/>
          <w:szCs w:val="22"/>
        </w:rPr>
        <w:lastRenderedPageBreak/>
        <w:t>BACKGROUND</w:t>
      </w:r>
      <w:bookmarkEnd w:id="0"/>
    </w:p>
    <w:p w14:paraId="6C918BBE" w14:textId="78A3BD9C" w:rsidR="0039486D" w:rsidRDefault="0039486D" w:rsidP="007E4706">
      <w:pPr>
        <w:pStyle w:val="ListParagraph"/>
        <w:numPr>
          <w:ilvl w:val="0"/>
          <w:numId w:val="3"/>
        </w:numPr>
        <w:spacing w:after="120" w:line="340" w:lineRule="atLeast"/>
        <w:ind w:left="0" w:firstLine="0"/>
        <w:contextualSpacing w:val="0"/>
        <w:jc w:val="both"/>
        <w:rPr>
          <w:rFonts w:ascii="Book Antiqua" w:eastAsia="SimSun" w:hAnsi="Book Antiqua" w:cs="Times New Roman"/>
        </w:rPr>
      </w:pPr>
      <w:r>
        <w:rPr>
          <w:rFonts w:ascii="Book Antiqua" w:eastAsia="SimSun" w:hAnsi="Book Antiqua" w:cs="Times New Roman"/>
          <w:lang w:eastAsia="zh-CN"/>
        </w:rPr>
        <w:t>The 23</w:t>
      </w:r>
      <w:r w:rsidRPr="0039486D">
        <w:rPr>
          <w:rFonts w:ascii="Book Antiqua" w:eastAsia="SimSun" w:hAnsi="Book Antiqua" w:cs="Times New Roman"/>
          <w:vertAlign w:val="superscript"/>
          <w:lang w:eastAsia="zh-CN"/>
        </w:rPr>
        <w:t>rd</w:t>
      </w:r>
      <w:r>
        <w:rPr>
          <w:rFonts w:ascii="Book Antiqua" w:eastAsia="SimSun" w:hAnsi="Book Antiqua" w:cs="Times New Roman"/>
          <w:lang w:eastAsia="zh-CN"/>
        </w:rPr>
        <w:t xml:space="preserve"> Senior Officials Meeting (SOM-23) of North-East Asian Subregional Programme for Environmental Cooperation (NEASPEC)</w:t>
      </w:r>
      <w:r w:rsidR="008D46F9">
        <w:rPr>
          <w:rFonts w:ascii="Book Antiqua" w:eastAsia="SimSun" w:hAnsi="Book Antiqua" w:cs="Times New Roman"/>
          <w:lang w:eastAsia="zh-CN"/>
        </w:rPr>
        <w:t xml:space="preserve"> </w:t>
      </w:r>
      <w:r w:rsidR="00DC2E5F">
        <w:rPr>
          <w:rFonts w:ascii="Book Antiqua" w:eastAsia="SimSun" w:hAnsi="Book Antiqua" w:cs="Times New Roman"/>
          <w:lang w:eastAsia="zh-CN"/>
        </w:rPr>
        <w:t xml:space="preserve">requested the secretariat to commission </w:t>
      </w:r>
      <w:r w:rsidR="008D46F9" w:rsidRPr="006945C4">
        <w:rPr>
          <w:rFonts w:ascii="Book Antiqua" w:eastAsia="SimSun" w:hAnsi="Book Antiqua" w:cs="Times New Roman"/>
          <w:lang w:eastAsia="zh-CN"/>
        </w:rPr>
        <w:t xml:space="preserve">an </w:t>
      </w:r>
      <w:r w:rsidR="00B4038D">
        <w:rPr>
          <w:rFonts w:ascii="Book Antiqua" w:eastAsia="SimSun" w:hAnsi="Book Antiqua" w:cs="Times New Roman"/>
          <w:lang w:eastAsia="zh-CN"/>
        </w:rPr>
        <w:t>independent</w:t>
      </w:r>
      <w:r w:rsidR="00B4038D" w:rsidRPr="006945C4">
        <w:rPr>
          <w:rFonts w:ascii="Book Antiqua" w:eastAsia="SimSun" w:hAnsi="Book Antiqua" w:cs="Times New Roman"/>
          <w:lang w:eastAsia="zh-CN"/>
        </w:rPr>
        <w:t xml:space="preserve"> </w:t>
      </w:r>
      <w:r w:rsidR="008D46F9" w:rsidRPr="006945C4">
        <w:rPr>
          <w:rFonts w:ascii="Book Antiqua" w:eastAsia="SimSun" w:hAnsi="Book Antiqua" w:cs="Times New Roman"/>
          <w:lang w:eastAsia="zh-CN"/>
        </w:rPr>
        <w:t xml:space="preserve">evaluation </w:t>
      </w:r>
      <w:r w:rsidR="006945C4" w:rsidRPr="006945C4">
        <w:rPr>
          <w:rFonts w:ascii="Book Antiqua" w:eastAsia="SimSun" w:hAnsi="Book Antiqua" w:cs="Times New Roman"/>
          <w:lang w:eastAsia="zh-CN"/>
        </w:rPr>
        <w:t>to asses</w:t>
      </w:r>
      <w:r w:rsidR="00B3076A">
        <w:rPr>
          <w:rFonts w:ascii="Book Antiqua" w:eastAsia="SimSun" w:hAnsi="Book Antiqua" w:cs="Times New Roman"/>
          <w:lang w:eastAsia="zh-CN"/>
        </w:rPr>
        <w:t>s</w:t>
      </w:r>
      <w:r w:rsidR="006945C4" w:rsidRPr="006945C4">
        <w:rPr>
          <w:rFonts w:ascii="Book Antiqua" w:eastAsia="SimSun" w:hAnsi="Book Antiqua" w:cs="Times New Roman"/>
          <w:lang w:eastAsia="zh-CN"/>
        </w:rPr>
        <w:t xml:space="preserve"> NEASPEC’s performance and achievements vis-à-vis the </w:t>
      </w:r>
      <w:r w:rsidR="008D46F9" w:rsidRPr="006945C4">
        <w:rPr>
          <w:rFonts w:ascii="Book Antiqua" w:eastAsia="SimSun" w:hAnsi="Book Antiqua" w:cs="Times New Roman"/>
          <w:lang w:eastAsia="zh-CN"/>
        </w:rPr>
        <w:t>current NEASPEC Strat</w:t>
      </w:r>
      <w:r w:rsidRPr="006945C4">
        <w:rPr>
          <w:rFonts w:ascii="Book Antiqua" w:eastAsia="SimSun" w:hAnsi="Book Antiqua" w:cs="Times New Roman"/>
          <w:lang w:eastAsia="zh-CN"/>
        </w:rPr>
        <w:t>egic Plan 2016-2020</w:t>
      </w:r>
      <w:r w:rsidR="006945C4" w:rsidRPr="006945C4">
        <w:rPr>
          <w:rFonts w:ascii="Book Antiqua" w:eastAsia="SimSun" w:hAnsi="Book Antiqua" w:cs="Times New Roman"/>
          <w:lang w:eastAsia="zh-CN"/>
        </w:rPr>
        <w:t xml:space="preserve"> and the programme’s strengths</w:t>
      </w:r>
      <w:r w:rsidR="00105A82">
        <w:rPr>
          <w:rFonts w:ascii="Book Antiqua" w:eastAsia="SimSun" w:hAnsi="Book Antiqua" w:cs="Times New Roman"/>
          <w:lang w:eastAsia="zh-CN"/>
        </w:rPr>
        <w:t xml:space="preserve"> and </w:t>
      </w:r>
      <w:r w:rsidR="006945C4" w:rsidRPr="006945C4">
        <w:rPr>
          <w:rFonts w:ascii="Book Antiqua" w:eastAsia="SimSun" w:hAnsi="Book Antiqua" w:cs="Times New Roman"/>
          <w:lang w:eastAsia="zh-CN"/>
        </w:rPr>
        <w:t>challenges with respect to its institutional setup, partnership arrangements, and resource m</w:t>
      </w:r>
      <w:r w:rsidR="006945C4">
        <w:rPr>
          <w:rFonts w:ascii="Book Antiqua" w:eastAsia="SimSun" w:hAnsi="Book Antiqua" w:cs="Times New Roman"/>
          <w:lang w:eastAsia="zh-CN"/>
        </w:rPr>
        <w:t>obilization</w:t>
      </w:r>
      <w:r>
        <w:rPr>
          <w:rFonts w:ascii="Book Antiqua" w:eastAsia="SimSun" w:hAnsi="Book Antiqua" w:cs="Times New Roman"/>
          <w:lang w:eastAsia="zh-CN"/>
        </w:rPr>
        <w:t xml:space="preserve">. In line with that decision, the ESCAP commissioned an independent evaluation of the NEASPEC </w:t>
      </w:r>
      <w:r w:rsidR="007578E7">
        <w:rPr>
          <w:rFonts w:ascii="Book Antiqua" w:eastAsia="SimSun" w:hAnsi="Book Antiqua" w:cs="Times New Roman"/>
          <w:lang w:eastAsia="zh-CN"/>
        </w:rPr>
        <w:t>during</w:t>
      </w:r>
      <w:r>
        <w:rPr>
          <w:rFonts w:ascii="Book Antiqua" w:eastAsia="SimSun" w:hAnsi="Book Antiqua" w:cs="Times New Roman"/>
          <w:lang w:eastAsia="zh-CN"/>
        </w:rPr>
        <w:t xml:space="preserve"> April-</w:t>
      </w:r>
      <w:r w:rsidR="00D34D1D">
        <w:rPr>
          <w:rFonts w:ascii="Book Antiqua" w:eastAsia="SimSun" w:hAnsi="Book Antiqua" w:cs="Times New Roman"/>
          <w:lang w:eastAsia="zh-CN"/>
        </w:rPr>
        <w:t>August</w:t>
      </w:r>
      <w:r>
        <w:rPr>
          <w:rFonts w:ascii="Book Antiqua" w:eastAsia="SimSun" w:hAnsi="Book Antiqua" w:cs="Times New Roman"/>
          <w:lang w:eastAsia="zh-CN"/>
        </w:rPr>
        <w:t xml:space="preserve"> 2020. </w:t>
      </w:r>
    </w:p>
    <w:p w14:paraId="4189E771" w14:textId="7B75CB6D" w:rsidR="0039486D" w:rsidRPr="0039486D" w:rsidRDefault="0039486D" w:rsidP="0039486D">
      <w:pPr>
        <w:pStyle w:val="ListParagraph"/>
        <w:numPr>
          <w:ilvl w:val="0"/>
          <w:numId w:val="3"/>
        </w:numPr>
        <w:spacing w:after="120" w:line="340" w:lineRule="atLeast"/>
        <w:ind w:left="0" w:firstLine="0"/>
        <w:contextualSpacing w:val="0"/>
        <w:jc w:val="both"/>
        <w:rPr>
          <w:rFonts w:ascii="Book Antiqua" w:hAnsi="Book Antiqua"/>
          <w:caps/>
        </w:rPr>
      </w:pPr>
      <w:r w:rsidRPr="0039486D">
        <w:rPr>
          <w:rFonts w:ascii="Book Antiqua" w:eastAsia="SimSun" w:hAnsi="Book Antiqua" w:cs="Times New Roman"/>
          <w:lang w:eastAsia="zh-CN"/>
        </w:rPr>
        <w:t xml:space="preserve">The </w:t>
      </w:r>
      <w:r w:rsidR="00A62605">
        <w:rPr>
          <w:rFonts w:ascii="Book Antiqua" w:eastAsia="SimSun" w:hAnsi="Book Antiqua" w:cs="Times New Roman"/>
          <w:lang w:eastAsia="zh-CN"/>
        </w:rPr>
        <w:t xml:space="preserve">preliminary </w:t>
      </w:r>
      <w:r w:rsidRPr="0039486D">
        <w:rPr>
          <w:rFonts w:ascii="Book Antiqua" w:eastAsia="SimSun" w:hAnsi="Book Antiqua" w:cs="Times New Roman"/>
          <w:lang w:eastAsia="zh-CN"/>
        </w:rPr>
        <w:t xml:space="preserve">outcome of the evaluation </w:t>
      </w:r>
      <w:r w:rsidR="00B4038D">
        <w:rPr>
          <w:rFonts w:ascii="Book Antiqua" w:eastAsia="SimSun" w:hAnsi="Book Antiqua" w:cs="Times New Roman"/>
          <w:lang w:eastAsia="zh-CN"/>
        </w:rPr>
        <w:t xml:space="preserve">was presented </w:t>
      </w:r>
      <w:r w:rsidRPr="0039486D">
        <w:rPr>
          <w:rFonts w:ascii="Book Antiqua" w:eastAsia="SimSun" w:hAnsi="Book Antiqua" w:cs="Times New Roman"/>
          <w:lang w:eastAsia="zh-CN"/>
        </w:rPr>
        <w:t>to the</w:t>
      </w:r>
      <w:r w:rsidR="002C271B">
        <w:rPr>
          <w:rFonts w:ascii="Book Antiqua" w:eastAsia="SimSun" w:hAnsi="Book Antiqua" w:cs="Times New Roman"/>
          <w:lang w:eastAsia="zh-CN"/>
        </w:rPr>
        <w:t xml:space="preserve"> meeting of NEASPEC </w:t>
      </w:r>
      <w:r w:rsidRPr="0039486D">
        <w:rPr>
          <w:rFonts w:ascii="Book Antiqua" w:eastAsia="SimSun" w:hAnsi="Book Antiqua" w:cs="Times New Roman"/>
          <w:lang w:eastAsia="zh-CN"/>
        </w:rPr>
        <w:t>national focal points virtually held on 6 August 2020 and to the evaluation reference group of ESCAP virtually convened on 13 August 2020. The recommendations of the evaluation are excerpted from the full report</w:t>
      </w:r>
      <w:r w:rsidR="002C271B">
        <w:rPr>
          <w:rFonts w:ascii="Book Antiqua" w:eastAsia="SimSun" w:hAnsi="Book Antiqua" w:cs="Times New Roman"/>
          <w:lang w:eastAsia="zh-CN"/>
        </w:rPr>
        <w:t xml:space="preserve"> (see annex)</w:t>
      </w:r>
      <w:r w:rsidRPr="0039486D">
        <w:rPr>
          <w:rFonts w:ascii="Book Antiqua" w:eastAsia="SimSun" w:hAnsi="Book Antiqua" w:cs="Times New Roman"/>
          <w:lang w:eastAsia="zh-CN"/>
        </w:rPr>
        <w:t xml:space="preserve"> and are included in the present document </w:t>
      </w:r>
      <w:r w:rsidR="00DC2E5F">
        <w:rPr>
          <w:rFonts w:ascii="Book Antiqua" w:eastAsia="SimSun" w:hAnsi="Book Antiqua" w:cs="Times New Roman"/>
          <w:lang w:eastAsia="zh-CN"/>
        </w:rPr>
        <w:t xml:space="preserve">prepared for consideration at </w:t>
      </w:r>
      <w:r w:rsidRPr="0039486D">
        <w:rPr>
          <w:rFonts w:ascii="Book Antiqua" w:eastAsia="SimSun" w:hAnsi="Book Antiqua" w:cs="Times New Roman"/>
          <w:lang w:eastAsia="zh-CN"/>
        </w:rPr>
        <w:t xml:space="preserve">the </w:t>
      </w:r>
      <w:r w:rsidR="007D7D87">
        <w:rPr>
          <w:rFonts w:ascii="Book Antiqua" w:eastAsia="SimSun" w:hAnsi="Book Antiqua" w:cs="Times New Roman"/>
          <w:lang w:eastAsia="zh-CN"/>
        </w:rPr>
        <w:t>24</w:t>
      </w:r>
      <w:r w:rsidR="007D7D87" w:rsidRPr="007D7D87">
        <w:rPr>
          <w:rFonts w:ascii="Book Antiqua" w:eastAsia="SimSun" w:hAnsi="Book Antiqua" w:cs="Times New Roman"/>
          <w:vertAlign w:val="superscript"/>
          <w:lang w:eastAsia="zh-CN"/>
        </w:rPr>
        <w:t>th</w:t>
      </w:r>
      <w:r w:rsidR="007D7D87">
        <w:rPr>
          <w:rFonts w:ascii="Book Antiqua" w:eastAsia="SimSun" w:hAnsi="Book Antiqua" w:cs="Times New Roman"/>
          <w:lang w:eastAsia="zh-CN"/>
        </w:rPr>
        <w:t xml:space="preserve"> Senior Officials Meeting of NEASPEC (</w:t>
      </w:r>
      <w:r w:rsidRPr="0039486D">
        <w:rPr>
          <w:rFonts w:ascii="Book Antiqua" w:eastAsia="SimSun" w:hAnsi="Book Antiqua" w:cs="Times New Roman"/>
          <w:lang w:eastAsia="zh-CN"/>
        </w:rPr>
        <w:t>SOM-24</w:t>
      </w:r>
      <w:r w:rsidR="007D7D87">
        <w:rPr>
          <w:rFonts w:ascii="Book Antiqua" w:eastAsia="SimSun" w:hAnsi="Book Antiqua" w:cs="Times New Roman"/>
          <w:lang w:eastAsia="zh-CN"/>
        </w:rPr>
        <w:t>)</w:t>
      </w:r>
      <w:r w:rsidRPr="0039486D">
        <w:rPr>
          <w:rFonts w:ascii="Book Antiqua" w:eastAsia="SimSun" w:hAnsi="Book Antiqua" w:cs="Times New Roman"/>
          <w:lang w:eastAsia="zh-CN"/>
        </w:rPr>
        <w:t xml:space="preserve">.  </w:t>
      </w:r>
    </w:p>
    <w:p w14:paraId="3F329336" w14:textId="46041721" w:rsidR="001B1388" w:rsidRPr="0072006B" w:rsidRDefault="002C271B" w:rsidP="0072006B">
      <w:pPr>
        <w:pStyle w:val="Heading1"/>
        <w:numPr>
          <w:ilvl w:val="0"/>
          <w:numId w:val="1"/>
        </w:numPr>
        <w:spacing w:after="240"/>
        <w:jc w:val="center"/>
        <w:rPr>
          <w:rFonts w:ascii="Book Antiqua" w:hAnsi="Book Antiqua"/>
          <w:caps/>
          <w:color w:val="auto"/>
          <w:sz w:val="22"/>
          <w:szCs w:val="22"/>
        </w:rPr>
      </w:pPr>
      <w:bookmarkStart w:id="1" w:name="_Toc50472644"/>
      <w:r>
        <w:rPr>
          <w:rFonts w:ascii="Book Antiqua" w:hAnsi="Book Antiqua"/>
          <w:caps/>
          <w:color w:val="auto"/>
          <w:sz w:val="22"/>
          <w:szCs w:val="22"/>
        </w:rPr>
        <w:t>purpose a</w:t>
      </w:r>
      <w:r w:rsidR="00FA6686">
        <w:rPr>
          <w:rFonts w:ascii="Book Antiqua" w:hAnsi="Book Antiqua"/>
          <w:caps/>
          <w:color w:val="auto"/>
          <w:sz w:val="22"/>
          <w:szCs w:val="22"/>
        </w:rPr>
        <w:t>N</w:t>
      </w:r>
      <w:r>
        <w:rPr>
          <w:rFonts w:ascii="Book Antiqua" w:hAnsi="Book Antiqua"/>
          <w:caps/>
          <w:color w:val="auto"/>
          <w:sz w:val="22"/>
          <w:szCs w:val="22"/>
        </w:rPr>
        <w:t>d method</w:t>
      </w:r>
      <w:bookmarkEnd w:id="1"/>
    </w:p>
    <w:p w14:paraId="2844956B" w14:textId="508DEACE" w:rsidR="00743497" w:rsidRPr="00743497" w:rsidRDefault="00B34A33" w:rsidP="00743497">
      <w:pPr>
        <w:pStyle w:val="ListParagraph"/>
        <w:numPr>
          <w:ilvl w:val="0"/>
          <w:numId w:val="3"/>
        </w:numPr>
        <w:spacing w:after="120" w:line="340" w:lineRule="atLeast"/>
        <w:ind w:left="0" w:firstLine="0"/>
        <w:contextualSpacing w:val="0"/>
        <w:jc w:val="both"/>
        <w:rPr>
          <w:rFonts w:ascii="Book Antiqua" w:eastAsia="SimSun" w:hAnsi="Book Antiqua" w:cs="Times New Roman"/>
        </w:rPr>
      </w:pPr>
      <w:r w:rsidRPr="00B34A33">
        <w:rPr>
          <w:rFonts w:ascii="Book Antiqua" w:hAnsi="Book Antiqua"/>
          <w:color w:val="000000" w:themeColor="text1"/>
        </w:rPr>
        <w:t xml:space="preserve">The </w:t>
      </w:r>
      <w:r w:rsidR="002C271B">
        <w:rPr>
          <w:rFonts w:ascii="Book Antiqua" w:hAnsi="Book Antiqua"/>
          <w:color w:val="000000" w:themeColor="text1"/>
        </w:rPr>
        <w:t xml:space="preserve">evaluation aimed to contribute to the deliberations at the </w:t>
      </w:r>
      <w:r w:rsidR="007D7D87">
        <w:rPr>
          <w:rFonts w:ascii="Book Antiqua" w:hAnsi="Book Antiqua"/>
          <w:color w:val="000000" w:themeColor="text1"/>
        </w:rPr>
        <w:t>SOM-24 t</w:t>
      </w:r>
      <w:r w:rsidR="002C271B">
        <w:rPr>
          <w:rFonts w:ascii="Book Antiqua" w:hAnsi="Book Antiqua"/>
          <w:color w:val="000000" w:themeColor="text1"/>
        </w:rPr>
        <w:t>o be held on 12-13 October 2020 on</w:t>
      </w:r>
      <w:r w:rsidR="00A62605">
        <w:rPr>
          <w:rFonts w:ascii="Book Antiqua" w:hAnsi="Book Antiqua"/>
          <w:color w:val="000000" w:themeColor="text1"/>
        </w:rPr>
        <w:t xml:space="preserve"> the</w:t>
      </w:r>
      <w:r w:rsidR="002C271B">
        <w:rPr>
          <w:rFonts w:ascii="Book Antiqua" w:hAnsi="Book Antiqua"/>
          <w:color w:val="000000" w:themeColor="text1"/>
        </w:rPr>
        <w:t xml:space="preserve"> ways to further strengthen the Programme in the context of the subregional priorities of environmental cooperation and the 2030 Agenda for Sustainable Development</w:t>
      </w:r>
      <w:r w:rsidR="00A62605">
        <w:rPr>
          <w:rFonts w:ascii="Book Antiqua" w:hAnsi="Book Antiqua"/>
          <w:color w:val="000000" w:themeColor="text1"/>
        </w:rPr>
        <w:t>,</w:t>
      </w:r>
      <w:r w:rsidR="002C271B">
        <w:rPr>
          <w:rFonts w:ascii="Book Antiqua" w:hAnsi="Book Antiqua"/>
          <w:color w:val="000000" w:themeColor="text1"/>
        </w:rPr>
        <w:t xml:space="preserve"> and </w:t>
      </w:r>
      <w:r w:rsidR="00E43686">
        <w:rPr>
          <w:rFonts w:ascii="Book Antiqua" w:hAnsi="Book Antiqua"/>
          <w:color w:val="000000" w:themeColor="text1"/>
        </w:rPr>
        <w:t xml:space="preserve">to </w:t>
      </w:r>
      <w:r w:rsidR="002C271B">
        <w:rPr>
          <w:rFonts w:ascii="Book Antiqua" w:hAnsi="Book Antiqua"/>
          <w:color w:val="000000" w:themeColor="text1"/>
        </w:rPr>
        <w:t>provide inputs to the formulation of the NEASPEC Strategic Plan 2021-2025. The evaluation assessed the</w:t>
      </w:r>
      <w:r w:rsidR="007D7D87">
        <w:rPr>
          <w:rFonts w:ascii="Book Antiqua" w:hAnsi="Book Antiqua"/>
          <w:color w:val="000000" w:themeColor="text1"/>
        </w:rPr>
        <w:t xml:space="preserve"> results achieved against </w:t>
      </w:r>
      <w:r w:rsidR="00A555F4">
        <w:rPr>
          <w:rFonts w:ascii="Book Antiqua" w:hAnsi="Book Antiqua"/>
          <w:color w:val="000000" w:themeColor="text1"/>
        </w:rPr>
        <w:t xml:space="preserve">the </w:t>
      </w:r>
      <w:r w:rsidR="007D7D87">
        <w:rPr>
          <w:rFonts w:ascii="Book Antiqua" w:hAnsi="Book Antiqua"/>
          <w:color w:val="000000" w:themeColor="text1"/>
        </w:rPr>
        <w:t xml:space="preserve">implementation of the current </w:t>
      </w:r>
      <w:r w:rsidR="00E43686">
        <w:rPr>
          <w:rFonts w:ascii="Book Antiqua" w:hAnsi="Book Antiqua"/>
          <w:color w:val="000000" w:themeColor="text1"/>
        </w:rPr>
        <w:t>S</w:t>
      </w:r>
      <w:r w:rsidR="007D7D87">
        <w:rPr>
          <w:rFonts w:ascii="Book Antiqua" w:hAnsi="Book Antiqua"/>
          <w:color w:val="000000" w:themeColor="text1"/>
        </w:rPr>
        <w:t xml:space="preserve">trategic </w:t>
      </w:r>
      <w:r w:rsidR="00E43686">
        <w:rPr>
          <w:rFonts w:ascii="Book Antiqua" w:hAnsi="Book Antiqua"/>
          <w:color w:val="000000" w:themeColor="text1"/>
        </w:rPr>
        <w:t>P</w:t>
      </w:r>
      <w:r w:rsidR="007D7D87">
        <w:rPr>
          <w:rFonts w:ascii="Book Antiqua" w:hAnsi="Book Antiqua"/>
          <w:color w:val="000000" w:themeColor="text1"/>
        </w:rPr>
        <w:t xml:space="preserve">lan 2016-2020 and the institutional setting of NEASPEC.  </w:t>
      </w:r>
    </w:p>
    <w:p w14:paraId="74B893DE" w14:textId="040B08D3" w:rsidR="00743497" w:rsidRPr="00743497" w:rsidRDefault="00C7751D" w:rsidP="00743497">
      <w:pPr>
        <w:pStyle w:val="ListParagraph"/>
        <w:numPr>
          <w:ilvl w:val="0"/>
          <w:numId w:val="3"/>
        </w:numPr>
        <w:spacing w:after="120" w:line="340" w:lineRule="atLeast"/>
        <w:ind w:left="0" w:firstLine="0"/>
        <w:contextualSpacing w:val="0"/>
        <w:jc w:val="both"/>
        <w:rPr>
          <w:rFonts w:ascii="Book Antiqua" w:eastAsia="SimSun" w:hAnsi="Book Antiqua" w:cs="Times New Roman"/>
        </w:rPr>
      </w:pPr>
      <w:r w:rsidRPr="00743497">
        <w:rPr>
          <w:rFonts w:ascii="Book Antiqua" w:hAnsi="Book Antiqua"/>
          <w:bCs/>
          <w:color w:val="000000" w:themeColor="text1"/>
        </w:rPr>
        <w:t xml:space="preserve">The </w:t>
      </w:r>
      <w:r w:rsidR="007D7D87" w:rsidRPr="00743497">
        <w:rPr>
          <w:rFonts w:ascii="Book Antiqua" w:hAnsi="Book Antiqua"/>
          <w:bCs/>
          <w:color w:val="000000" w:themeColor="text1"/>
        </w:rPr>
        <w:t>evaluation was conducted in accordance with the norms, standards and procedures set out in the “ESCAP monitoring and evaluation: policy and guidelines”</w:t>
      </w:r>
      <w:r w:rsidR="00743497">
        <w:rPr>
          <w:rStyle w:val="FootnoteReference"/>
          <w:rFonts w:ascii="Book Antiqua" w:hAnsi="Book Antiqua"/>
          <w:bCs/>
          <w:color w:val="000000" w:themeColor="text1"/>
        </w:rPr>
        <w:footnoteReference w:id="2"/>
      </w:r>
      <w:r w:rsidR="00743497" w:rsidRPr="00743497">
        <w:rPr>
          <w:rFonts w:ascii="Book Antiqua" w:hAnsi="Book Antiqua"/>
          <w:bCs/>
          <w:color w:val="000000" w:themeColor="text1"/>
        </w:rPr>
        <w:t xml:space="preserve"> to ensure the evaluation would be independent, objective, and </w:t>
      </w:r>
      <w:r w:rsidR="004245DA">
        <w:rPr>
          <w:rFonts w:ascii="Book Antiqua" w:hAnsi="Book Antiqua"/>
          <w:bCs/>
          <w:color w:val="000000" w:themeColor="text1"/>
        </w:rPr>
        <w:t xml:space="preserve">of </w:t>
      </w:r>
      <w:r w:rsidR="00743497" w:rsidRPr="00743497">
        <w:rPr>
          <w:rFonts w:ascii="Book Antiqua" w:hAnsi="Book Antiqua"/>
          <w:bCs/>
          <w:color w:val="000000" w:themeColor="text1"/>
        </w:rPr>
        <w:t xml:space="preserve">high quality. The evaluation was conducted from April to August 2020 by Dr. Joyce Miller, a </w:t>
      </w:r>
      <w:r w:rsidR="004245DA">
        <w:rPr>
          <w:rFonts w:ascii="Book Antiqua" w:hAnsi="Book Antiqua"/>
          <w:bCs/>
          <w:color w:val="000000" w:themeColor="text1"/>
        </w:rPr>
        <w:t>S</w:t>
      </w:r>
      <w:r w:rsidR="00743497" w:rsidRPr="00743497">
        <w:rPr>
          <w:rFonts w:ascii="Book Antiqua" w:hAnsi="Book Antiqua"/>
          <w:bCs/>
          <w:color w:val="000000" w:themeColor="text1"/>
        </w:rPr>
        <w:t xml:space="preserve">wiss-based </w:t>
      </w:r>
      <w:r w:rsidR="004245DA">
        <w:rPr>
          <w:rFonts w:ascii="Book Antiqua" w:hAnsi="Book Antiqua"/>
          <w:bCs/>
          <w:color w:val="000000" w:themeColor="text1"/>
        </w:rPr>
        <w:t xml:space="preserve">independent </w:t>
      </w:r>
      <w:r w:rsidR="00743497" w:rsidRPr="00743497">
        <w:rPr>
          <w:rFonts w:ascii="Book Antiqua" w:hAnsi="Book Antiqua"/>
          <w:bCs/>
          <w:color w:val="000000" w:themeColor="text1"/>
        </w:rPr>
        <w:t xml:space="preserve">consultant.  </w:t>
      </w:r>
    </w:p>
    <w:p w14:paraId="77DEEEDB" w14:textId="1CE8987A" w:rsidR="00945FFB" w:rsidRDefault="00945FFB" w:rsidP="00945FFB">
      <w:pPr>
        <w:pStyle w:val="ListParagraph"/>
        <w:numPr>
          <w:ilvl w:val="0"/>
          <w:numId w:val="3"/>
        </w:numPr>
        <w:spacing w:after="120" w:line="340" w:lineRule="atLeast"/>
        <w:ind w:left="0" w:firstLine="0"/>
        <w:contextualSpacing w:val="0"/>
        <w:jc w:val="both"/>
        <w:rPr>
          <w:rFonts w:ascii="Book Antiqua" w:eastAsia="SimSun" w:hAnsi="Book Antiqua" w:cs="Times New Roman"/>
        </w:rPr>
      </w:pPr>
      <w:r>
        <w:rPr>
          <w:rFonts w:ascii="Book Antiqua" w:eastAsia="SimSun" w:hAnsi="Book Antiqua" w:cs="Times New Roman"/>
          <w:lang w:eastAsia="zh-CN"/>
        </w:rPr>
        <w:t xml:space="preserve">The </w:t>
      </w:r>
      <w:r w:rsidR="004245DA">
        <w:rPr>
          <w:rFonts w:ascii="Book Antiqua" w:eastAsia="SimSun" w:hAnsi="Book Antiqua" w:cs="Times New Roman"/>
          <w:lang w:eastAsia="zh-CN"/>
        </w:rPr>
        <w:t xml:space="preserve">independent </w:t>
      </w:r>
      <w:r>
        <w:rPr>
          <w:rFonts w:ascii="Book Antiqua" w:eastAsia="SimSun" w:hAnsi="Book Antiqua" w:cs="Times New Roman"/>
          <w:lang w:eastAsia="zh-CN"/>
        </w:rPr>
        <w:t>evaluation involved a comprehensive review of key NEASPEC documents; interview</w:t>
      </w:r>
      <w:r w:rsidR="004245DA">
        <w:rPr>
          <w:rFonts w:ascii="Book Antiqua" w:eastAsia="SimSun" w:hAnsi="Book Antiqua" w:cs="Times New Roman"/>
          <w:lang w:eastAsia="zh-CN"/>
        </w:rPr>
        <w:t xml:space="preserve">s with </w:t>
      </w:r>
      <w:r>
        <w:rPr>
          <w:rFonts w:ascii="Book Antiqua" w:eastAsia="SimSun" w:hAnsi="Book Antiqua" w:cs="Times New Roman"/>
          <w:lang w:eastAsia="zh-CN"/>
        </w:rPr>
        <w:t>41 national focal points, experts, representatives of partner institutions, and ESCAP senior managers and secretariat staff; a stakeholder survey with 163 respondents; and participat</w:t>
      </w:r>
      <w:r w:rsidR="004245DA">
        <w:rPr>
          <w:rFonts w:ascii="Book Antiqua" w:eastAsia="SimSun" w:hAnsi="Book Antiqua" w:cs="Times New Roman"/>
          <w:lang w:eastAsia="zh-CN"/>
        </w:rPr>
        <w:t xml:space="preserve">ion </w:t>
      </w:r>
      <w:r w:rsidR="00E43686">
        <w:rPr>
          <w:rFonts w:ascii="Book Antiqua" w:eastAsia="SimSun" w:hAnsi="Book Antiqua" w:cs="Times New Roman"/>
          <w:lang w:eastAsia="zh-CN"/>
        </w:rPr>
        <w:t xml:space="preserve">at </w:t>
      </w:r>
      <w:r>
        <w:rPr>
          <w:rFonts w:ascii="Book Antiqua" w:eastAsia="SimSun" w:hAnsi="Book Antiqua" w:cs="Times New Roman"/>
          <w:lang w:eastAsia="zh-CN"/>
        </w:rPr>
        <w:t>NEASPEC meetings on nature conservation, air pollution, marine protected areas as well as the meeting of national focal points</w:t>
      </w:r>
      <w:r w:rsidR="00240F82">
        <w:rPr>
          <w:rFonts w:ascii="Book Antiqua" w:eastAsia="SimSun" w:hAnsi="Book Antiqua" w:cs="Times New Roman"/>
          <w:lang w:eastAsia="zh-CN"/>
        </w:rPr>
        <w:t xml:space="preserve"> (NFP)</w:t>
      </w:r>
      <w:r>
        <w:rPr>
          <w:rFonts w:ascii="Book Antiqua" w:eastAsia="SimSun" w:hAnsi="Book Antiqua" w:cs="Times New Roman"/>
          <w:lang w:eastAsia="zh-CN"/>
        </w:rPr>
        <w:t xml:space="preserve">.  </w:t>
      </w:r>
    </w:p>
    <w:p w14:paraId="7C6F47AF" w14:textId="534AC72B" w:rsidR="00743497" w:rsidRPr="00105A82" w:rsidRDefault="00945FFB" w:rsidP="00370ADD">
      <w:pPr>
        <w:pStyle w:val="ListParagraph"/>
        <w:numPr>
          <w:ilvl w:val="0"/>
          <w:numId w:val="3"/>
        </w:numPr>
        <w:spacing w:after="120" w:line="340" w:lineRule="atLeast"/>
        <w:ind w:left="0" w:firstLine="0"/>
        <w:contextualSpacing w:val="0"/>
        <w:jc w:val="both"/>
        <w:rPr>
          <w:rFonts w:ascii="Book Antiqua" w:hAnsi="Book Antiqua"/>
          <w:bCs/>
          <w:color w:val="000000" w:themeColor="text1"/>
        </w:rPr>
      </w:pPr>
      <w:r>
        <w:rPr>
          <w:rFonts w:ascii="Book Antiqua" w:hAnsi="Book Antiqua"/>
          <w:bCs/>
          <w:color w:val="000000" w:themeColor="text1"/>
        </w:rPr>
        <w:t xml:space="preserve">The </w:t>
      </w:r>
      <w:r w:rsidR="00CE3F59">
        <w:rPr>
          <w:rFonts w:ascii="Book Antiqua" w:hAnsi="Book Antiqua"/>
          <w:bCs/>
          <w:color w:val="000000" w:themeColor="text1"/>
        </w:rPr>
        <w:t xml:space="preserve">evaluation </w:t>
      </w:r>
      <w:r w:rsidR="00105A82">
        <w:rPr>
          <w:rFonts w:ascii="Book Antiqua" w:hAnsi="Book Antiqua"/>
          <w:bCs/>
          <w:color w:val="000000" w:themeColor="text1"/>
        </w:rPr>
        <w:t>assess</w:t>
      </w:r>
      <w:r w:rsidR="00CE3F59">
        <w:rPr>
          <w:rFonts w:ascii="Book Antiqua" w:hAnsi="Book Antiqua"/>
          <w:bCs/>
          <w:color w:val="000000" w:themeColor="text1"/>
        </w:rPr>
        <w:t xml:space="preserve">ed </w:t>
      </w:r>
      <w:r w:rsidR="00105A82">
        <w:rPr>
          <w:rFonts w:ascii="Book Antiqua" w:hAnsi="Book Antiqua"/>
          <w:bCs/>
          <w:color w:val="000000" w:themeColor="text1"/>
        </w:rPr>
        <w:t xml:space="preserve">NEASPEC’s institutional and organizational arrangement and programmatic activities focusing on the period of the current Strategic Plan (2016-2020). </w:t>
      </w:r>
      <w:r w:rsidR="00B744B9">
        <w:rPr>
          <w:rFonts w:ascii="Book Antiqua" w:hAnsi="Book Antiqua"/>
          <w:bCs/>
          <w:color w:val="000000" w:themeColor="text1"/>
        </w:rPr>
        <w:t xml:space="preserve"> The </w:t>
      </w:r>
      <w:r w:rsidR="00B744B9">
        <w:rPr>
          <w:rFonts w:ascii="Book Antiqua" w:hAnsi="Book Antiqua"/>
          <w:bCs/>
          <w:color w:val="000000" w:themeColor="text1"/>
        </w:rPr>
        <w:lastRenderedPageBreak/>
        <w:t xml:space="preserve">evaluation </w:t>
      </w:r>
      <w:r w:rsidR="00E43686">
        <w:rPr>
          <w:rFonts w:ascii="Book Antiqua" w:hAnsi="Book Antiqua"/>
          <w:bCs/>
          <w:color w:val="000000" w:themeColor="text1"/>
        </w:rPr>
        <w:t xml:space="preserve">focused on the aspects </w:t>
      </w:r>
      <w:r w:rsidR="00B744B9">
        <w:rPr>
          <w:rFonts w:ascii="Book Antiqua" w:hAnsi="Book Antiqua"/>
          <w:bCs/>
          <w:color w:val="000000" w:themeColor="text1"/>
        </w:rPr>
        <w:t>of NEASPEC</w:t>
      </w:r>
      <w:r w:rsidRPr="00945FFB">
        <w:rPr>
          <w:rFonts w:ascii="Book Antiqua" w:hAnsi="Book Antiqua"/>
          <w:bCs/>
          <w:color w:val="000000" w:themeColor="text1"/>
        </w:rPr>
        <w:t xml:space="preserve">’s </w:t>
      </w:r>
      <w:r w:rsidR="00B744B9">
        <w:rPr>
          <w:rFonts w:ascii="Book Antiqua" w:hAnsi="Book Antiqua"/>
          <w:bCs/>
          <w:color w:val="000000" w:themeColor="text1"/>
        </w:rPr>
        <w:t>r</w:t>
      </w:r>
      <w:r w:rsidRPr="00945FFB">
        <w:rPr>
          <w:rFonts w:ascii="Book Antiqua" w:hAnsi="Book Antiqua"/>
          <w:bCs/>
          <w:color w:val="000000" w:themeColor="text1"/>
        </w:rPr>
        <w:t xml:space="preserve">elevance, </w:t>
      </w:r>
      <w:r w:rsidR="00B744B9">
        <w:rPr>
          <w:rFonts w:ascii="Book Antiqua" w:hAnsi="Book Antiqua"/>
          <w:bCs/>
          <w:color w:val="000000" w:themeColor="text1"/>
        </w:rPr>
        <w:t>e</w:t>
      </w:r>
      <w:r w:rsidRPr="00945FFB">
        <w:rPr>
          <w:rFonts w:ascii="Book Antiqua" w:hAnsi="Book Antiqua"/>
          <w:bCs/>
          <w:color w:val="000000" w:themeColor="text1"/>
        </w:rPr>
        <w:t xml:space="preserve">ffectiveness, </w:t>
      </w:r>
      <w:r w:rsidR="00B744B9">
        <w:rPr>
          <w:rFonts w:ascii="Book Antiqua" w:hAnsi="Book Antiqua"/>
          <w:bCs/>
          <w:color w:val="000000" w:themeColor="text1"/>
        </w:rPr>
        <w:t>e</w:t>
      </w:r>
      <w:r w:rsidRPr="00945FFB">
        <w:rPr>
          <w:rFonts w:ascii="Book Antiqua" w:hAnsi="Book Antiqua"/>
          <w:bCs/>
          <w:color w:val="000000" w:themeColor="text1"/>
        </w:rPr>
        <w:t xml:space="preserve">fficiency, </w:t>
      </w:r>
      <w:r w:rsidR="00B744B9">
        <w:rPr>
          <w:rFonts w:ascii="Book Antiqua" w:hAnsi="Book Antiqua"/>
          <w:bCs/>
          <w:color w:val="000000" w:themeColor="text1"/>
        </w:rPr>
        <w:t>s</w:t>
      </w:r>
      <w:r w:rsidRPr="00945FFB">
        <w:rPr>
          <w:rFonts w:ascii="Book Antiqua" w:hAnsi="Book Antiqua"/>
          <w:bCs/>
          <w:color w:val="000000" w:themeColor="text1"/>
        </w:rPr>
        <w:t xml:space="preserve">ustainability, and </w:t>
      </w:r>
      <w:r w:rsidR="00B744B9">
        <w:rPr>
          <w:rFonts w:ascii="Book Antiqua" w:hAnsi="Book Antiqua"/>
          <w:bCs/>
          <w:color w:val="000000" w:themeColor="text1"/>
        </w:rPr>
        <w:t>m</w:t>
      </w:r>
      <w:r w:rsidRPr="00945FFB">
        <w:rPr>
          <w:rFonts w:ascii="Book Antiqua" w:hAnsi="Book Antiqua"/>
          <w:bCs/>
          <w:color w:val="000000" w:themeColor="text1"/>
        </w:rPr>
        <w:t xml:space="preserve">ainstreaming of </w:t>
      </w:r>
      <w:r w:rsidR="00B744B9">
        <w:rPr>
          <w:rFonts w:ascii="Book Antiqua" w:hAnsi="Book Antiqua"/>
          <w:bCs/>
          <w:color w:val="000000" w:themeColor="text1"/>
        </w:rPr>
        <w:t>g</w:t>
      </w:r>
      <w:r w:rsidRPr="00945FFB">
        <w:rPr>
          <w:rFonts w:ascii="Book Antiqua" w:hAnsi="Book Antiqua"/>
          <w:bCs/>
          <w:color w:val="000000" w:themeColor="text1"/>
        </w:rPr>
        <w:t>ender</w:t>
      </w:r>
      <w:r w:rsidR="00EA6236">
        <w:rPr>
          <w:rFonts w:ascii="Book Antiqua" w:hAnsi="Book Antiqua"/>
          <w:bCs/>
          <w:color w:val="000000" w:themeColor="text1"/>
        </w:rPr>
        <w:t xml:space="preserve"> and</w:t>
      </w:r>
      <w:r w:rsidR="00646BB0">
        <w:rPr>
          <w:rFonts w:ascii="Book Antiqua" w:hAnsi="Book Antiqua"/>
          <w:bCs/>
          <w:color w:val="000000" w:themeColor="text1"/>
        </w:rPr>
        <w:t xml:space="preserve"> </w:t>
      </w:r>
      <w:r w:rsidR="00B744B9">
        <w:rPr>
          <w:rFonts w:ascii="Book Antiqua" w:hAnsi="Book Antiqua"/>
          <w:bCs/>
          <w:color w:val="000000" w:themeColor="text1"/>
        </w:rPr>
        <w:t>h</w:t>
      </w:r>
      <w:r w:rsidRPr="00945FFB">
        <w:rPr>
          <w:rFonts w:ascii="Book Antiqua" w:hAnsi="Book Antiqua"/>
          <w:bCs/>
          <w:color w:val="000000" w:themeColor="text1"/>
        </w:rPr>
        <w:t xml:space="preserve">uman </w:t>
      </w:r>
      <w:r w:rsidR="00B744B9">
        <w:rPr>
          <w:rFonts w:ascii="Book Antiqua" w:hAnsi="Book Antiqua"/>
          <w:bCs/>
          <w:color w:val="000000" w:themeColor="text1"/>
        </w:rPr>
        <w:t>r</w:t>
      </w:r>
      <w:r w:rsidRPr="00945FFB">
        <w:rPr>
          <w:rFonts w:ascii="Book Antiqua" w:hAnsi="Book Antiqua"/>
          <w:bCs/>
          <w:color w:val="000000" w:themeColor="text1"/>
        </w:rPr>
        <w:t>ights, and its fundamental strengths and shortfalls</w:t>
      </w:r>
      <w:r w:rsidR="00B744B9">
        <w:rPr>
          <w:rFonts w:ascii="Book Antiqua" w:hAnsi="Book Antiqua"/>
          <w:bCs/>
          <w:color w:val="000000" w:themeColor="text1"/>
        </w:rPr>
        <w:t>.</w:t>
      </w:r>
      <w:r w:rsidRPr="00945FFB">
        <w:rPr>
          <w:rFonts w:ascii="Book Antiqua" w:hAnsi="Book Antiqua"/>
          <w:bCs/>
          <w:color w:val="000000" w:themeColor="text1"/>
        </w:rPr>
        <w:t xml:space="preserve"> </w:t>
      </w:r>
      <w:r w:rsidR="00105A82">
        <w:rPr>
          <w:rFonts w:ascii="Book Antiqua" w:hAnsi="Book Antiqua"/>
          <w:bCs/>
          <w:color w:val="000000" w:themeColor="text1"/>
        </w:rPr>
        <w:t xml:space="preserve">With the advent of the </w:t>
      </w:r>
      <w:r w:rsidR="00743497">
        <w:rPr>
          <w:rFonts w:ascii="Book Antiqua" w:hAnsi="Book Antiqua"/>
          <w:bCs/>
          <w:color w:val="000000" w:themeColor="text1"/>
        </w:rPr>
        <w:t xml:space="preserve">COVID-19 </w:t>
      </w:r>
      <w:r w:rsidR="00105A82">
        <w:rPr>
          <w:rFonts w:ascii="Book Antiqua" w:hAnsi="Book Antiqua"/>
          <w:bCs/>
          <w:color w:val="000000" w:themeColor="text1"/>
        </w:rPr>
        <w:t>p</w:t>
      </w:r>
      <w:r w:rsidR="00743497">
        <w:rPr>
          <w:rFonts w:ascii="Book Antiqua" w:hAnsi="Book Antiqua"/>
          <w:bCs/>
          <w:color w:val="000000" w:themeColor="text1"/>
        </w:rPr>
        <w:t>andemic</w:t>
      </w:r>
      <w:r w:rsidR="00105A82">
        <w:rPr>
          <w:rFonts w:ascii="Book Antiqua" w:hAnsi="Book Antiqua"/>
          <w:bCs/>
          <w:color w:val="000000" w:themeColor="text1"/>
        </w:rPr>
        <w:t xml:space="preserve"> and consequent restrictions on international travel, </w:t>
      </w:r>
      <w:r w:rsidR="00E43686">
        <w:rPr>
          <w:rFonts w:ascii="Book Antiqua" w:hAnsi="Book Antiqua"/>
          <w:bCs/>
          <w:color w:val="000000" w:themeColor="text1"/>
        </w:rPr>
        <w:t xml:space="preserve">the </w:t>
      </w:r>
      <w:r w:rsidR="00105A82">
        <w:rPr>
          <w:rFonts w:ascii="Book Antiqua" w:hAnsi="Book Antiqua"/>
          <w:bCs/>
          <w:color w:val="000000" w:themeColor="text1"/>
        </w:rPr>
        <w:t xml:space="preserve">envisaged field missions were replaced with virtual </w:t>
      </w:r>
      <w:r w:rsidR="00A47A6C">
        <w:rPr>
          <w:rFonts w:ascii="Book Antiqua" w:hAnsi="Book Antiqua"/>
          <w:bCs/>
          <w:color w:val="000000" w:themeColor="text1"/>
        </w:rPr>
        <w:t>consultations</w:t>
      </w:r>
      <w:r w:rsidR="00105A82">
        <w:rPr>
          <w:rFonts w:ascii="Book Antiqua" w:hAnsi="Book Antiqua"/>
          <w:bCs/>
          <w:color w:val="000000" w:themeColor="text1"/>
        </w:rPr>
        <w:t xml:space="preserve"> together with </w:t>
      </w:r>
      <w:r w:rsidR="00CE3F59">
        <w:rPr>
          <w:rFonts w:ascii="Book Antiqua" w:hAnsi="Book Antiqua"/>
          <w:bCs/>
          <w:color w:val="000000" w:themeColor="text1"/>
        </w:rPr>
        <w:t xml:space="preserve">an </w:t>
      </w:r>
      <w:r w:rsidR="00105A82">
        <w:rPr>
          <w:rFonts w:ascii="Book Antiqua" w:hAnsi="Book Antiqua"/>
          <w:bCs/>
          <w:color w:val="000000" w:themeColor="text1"/>
        </w:rPr>
        <w:t xml:space="preserve">online survey.  </w:t>
      </w:r>
    </w:p>
    <w:p w14:paraId="565E2800" w14:textId="363F2A7A" w:rsidR="0072006B" w:rsidRPr="0072006B" w:rsidRDefault="00370ADD" w:rsidP="0072006B">
      <w:pPr>
        <w:pStyle w:val="Heading1"/>
        <w:numPr>
          <w:ilvl w:val="0"/>
          <w:numId w:val="1"/>
        </w:numPr>
        <w:spacing w:after="240"/>
        <w:jc w:val="center"/>
        <w:rPr>
          <w:rFonts w:ascii="Book Antiqua" w:hAnsi="Book Antiqua"/>
          <w:caps/>
          <w:color w:val="auto"/>
          <w:sz w:val="22"/>
          <w:szCs w:val="22"/>
        </w:rPr>
      </w:pPr>
      <w:bookmarkStart w:id="2" w:name="_Toc50472645"/>
      <w:r w:rsidRPr="0072006B">
        <w:rPr>
          <w:rFonts w:ascii="Book Antiqua" w:hAnsi="Book Antiqua"/>
          <w:caps/>
          <w:color w:val="auto"/>
          <w:sz w:val="22"/>
          <w:szCs w:val="22"/>
        </w:rPr>
        <w:t>CONCLUSIONS AND RECOMMENDATIONS</w:t>
      </w:r>
      <w:bookmarkEnd w:id="2"/>
    </w:p>
    <w:p w14:paraId="6A840A21" w14:textId="42AF6F39" w:rsidR="00370ADD" w:rsidRPr="00D34D1D" w:rsidRDefault="00370ADD" w:rsidP="00D34D1D">
      <w:pPr>
        <w:pStyle w:val="ListParagraph"/>
        <w:numPr>
          <w:ilvl w:val="0"/>
          <w:numId w:val="3"/>
        </w:numPr>
        <w:spacing w:after="120" w:line="340" w:lineRule="atLeast"/>
        <w:ind w:left="0" w:firstLine="0"/>
        <w:contextualSpacing w:val="0"/>
        <w:jc w:val="both"/>
        <w:rPr>
          <w:rFonts w:ascii="Book Antiqua" w:eastAsiaTheme="majorEastAsia" w:hAnsi="Book Antiqua" w:cstheme="majorBidi"/>
          <w:caps/>
        </w:rPr>
      </w:pPr>
      <w:r w:rsidRPr="00D34D1D">
        <w:rPr>
          <w:rFonts w:ascii="Book Antiqua" w:eastAsiaTheme="majorEastAsia" w:hAnsi="Book Antiqua" w:cstheme="majorBidi"/>
        </w:rPr>
        <w:t xml:space="preserve">The evaluation provided conclusions and recommendations to enhance the performance of the NEASPEC. It found that NEASPEC </w:t>
      </w:r>
      <w:r w:rsidR="00646BB0">
        <w:rPr>
          <w:rFonts w:ascii="Book Antiqua" w:eastAsiaTheme="majorEastAsia" w:hAnsi="Book Antiqua" w:cstheme="majorBidi"/>
        </w:rPr>
        <w:t>adds</w:t>
      </w:r>
      <w:r w:rsidR="00A555F4" w:rsidRPr="00D34D1D">
        <w:rPr>
          <w:rFonts w:ascii="Book Antiqua" w:eastAsiaTheme="majorEastAsia" w:hAnsi="Book Antiqua" w:cstheme="majorBidi"/>
        </w:rPr>
        <w:t xml:space="preserve"> </w:t>
      </w:r>
      <w:r w:rsidRPr="00D34D1D">
        <w:rPr>
          <w:rFonts w:ascii="Book Antiqua" w:eastAsiaTheme="majorEastAsia" w:hAnsi="Book Antiqua" w:cstheme="majorBidi"/>
        </w:rPr>
        <w:t>unique value</w:t>
      </w:r>
      <w:r w:rsidR="00A555F4" w:rsidRPr="00D34D1D">
        <w:rPr>
          <w:rFonts w:ascii="Book Antiqua" w:eastAsiaTheme="majorEastAsia" w:hAnsi="Book Antiqua" w:cstheme="majorBidi"/>
        </w:rPr>
        <w:t xml:space="preserve"> to the six member </w:t>
      </w:r>
      <w:r w:rsidR="00945FFB">
        <w:rPr>
          <w:rFonts w:ascii="Book Antiqua" w:eastAsiaTheme="majorEastAsia" w:hAnsi="Book Antiqua" w:cstheme="majorBidi"/>
        </w:rPr>
        <w:t>States</w:t>
      </w:r>
      <w:r w:rsidR="00A555F4" w:rsidRPr="00D34D1D">
        <w:rPr>
          <w:rFonts w:ascii="Book Antiqua" w:eastAsiaTheme="majorEastAsia" w:hAnsi="Book Antiqua" w:cstheme="majorBidi"/>
        </w:rPr>
        <w:t xml:space="preserve">, </w:t>
      </w:r>
      <w:r w:rsidR="000A6FC6" w:rsidRPr="00D34D1D">
        <w:rPr>
          <w:rFonts w:ascii="Book Antiqua" w:eastAsiaTheme="majorEastAsia" w:hAnsi="Book Antiqua" w:cstheme="majorBidi"/>
        </w:rPr>
        <w:t xml:space="preserve">serving as the only </w:t>
      </w:r>
      <w:r w:rsidR="000A6FC6" w:rsidRPr="00D34D1D">
        <w:rPr>
          <w:rStyle w:val="IntenseReference"/>
          <w:rFonts w:ascii="Book Antiqua" w:eastAsiaTheme="majorEastAsia" w:hAnsi="Book Antiqua" w:cstheme="majorBidi"/>
          <w:b w:val="0"/>
          <w:bCs w:val="0"/>
          <w:smallCaps w:val="0"/>
          <w:color w:val="auto"/>
          <w:spacing w:val="0"/>
        </w:rPr>
        <w:t>comprehensive environmental cooperation mechanism in the subregion</w:t>
      </w:r>
      <w:r w:rsidR="00F50388" w:rsidRPr="00D34D1D">
        <w:rPr>
          <w:rStyle w:val="IntenseReference"/>
          <w:rFonts w:ascii="Book Antiqua" w:eastAsiaTheme="majorEastAsia" w:hAnsi="Book Antiqua" w:cstheme="majorBidi"/>
          <w:b w:val="0"/>
          <w:bCs w:val="0"/>
          <w:smallCaps w:val="0"/>
          <w:color w:val="auto"/>
          <w:spacing w:val="0"/>
        </w:rPr>
        <w:t xml:space="preserve"> and </w:t>
      </w:r>
      <w:r w:rsidR="000A6FC6" w:rsidRPr="00D34D1D">
        <w:rPr>
          <w:rStyle w:val="IntenseReference"/>
          <w:rFonts w:ascii="Book Antiqua" w:eastAsiaTheme="majorEastAsia" w:hAnsi="Book Antiqua" w:cstheme="majorBidi"/>
          <w:b w:val="0"/>
          <w:bCs w:val="0"/>
          <w:smallCaps w:val="0"/>
          <w:color w:val="auto"/>
          <w:spacing w:val="0"/>
        </w:rPr>
        <w:t>supporting effective cooperation and bringing concerted efforts as crucial contributions towards achieving the Sustainable Development Goals (SDGs).</w:t>
      </w:r>
      <w:r w:rsidR="00D34D1D" w:rsidRPr="00D34D1D">
        <w:rPr>
          <w:rStyle w:val="IntenseReference"/>
          <w:rFonts w:ascii="Book Antiqua" w:eastAsiaTheme="majorEastAsia" w:hAnsi="Book Antiqua" w:cstheme="majorBidi"/>
          <w:b w:val="0"/>
          <w:bCs w:val="0"/>
          <w:smallCaps w:val="0"/>
          <w:color w:val="auto"/>
          <w:spacing w:val="0"/>
        </w:rPr>
        <w:t xml:space="preserve"> </w:t>
      </w:r>
    </w:p>
    <w:p w14:paraId="11ED5349" w14:textId="120F8578" w:rsidR="00B744B9" w:rsidRDefault="00370ADD" w:rsidP="00370ADD">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sidRPr="00370ADD">
        <w:rPr>
          <w:rFonts w:ascii="Book Antiqua" w:eastAsiaTheme="majorEastAsia" w:hAnsi="Book Antiqua" w:cstheme="majorBidi"/>
        </w:rPr>
        <w:t>Base</w:t>
      </w:r>
      <w:r>
        <w:rPr>
          <w:rFonts w:ascii="Book Antiqua" w:eastAsiaTheme="majorEastAsia" w:hAnsi="Book Antiqua" w:cstheme="majorBidi"/>
        </w:rPr>
        <w:t xml:space="preserve">d on the findings and conclusions of the evaluation, </w:t>
      </w:r>
      <w:r w:rsidR="00F908E7">
        <w:rPr>
          <w:rFonts w:ascii="Book Antiqua" w:eastAsiaTheme="majorEastAsia" w:hAnsi="Book Antiqua" w:cstheme="majorBidi"/>
        </w:rPr>
        <w:t>seven</w:t>
      </w:r>
      <w:r>
        <w:rPr>
          <w:rFonts w:ascii="Book Antiqua" w:eastAsiaTheme="majorEastAsia" w:hAnsi="Book Antiqua" w:cstheme="majorBidi"/>
        </w:rPr>
        <w:t xml:space="preserve"> recommendations were proposed for improving the relevance, </w:t>
      </w:r>
      <w:r w:rsidR="000A6FC6">
        <w:rPr>
          <w:rFonts w:ascii="Book Antiqua" w:eastAsiaTheme="majorEastAsia" w:hAnsi="Book Antiqua" w:cstheme="majorBidi"/>
        </w:rPr>
        <w:t xml:space="preserve">effectiveness, efficiency, </w:t>
      </w:r>
      <w:r>
        <w:rPr>
          <w:rFonts w:ascii="Book Antiqua" w:eastAsiaTheme="majorEastAsia" w:hAnsi="Book Antiqua" w:cstheme="majorBidi"/>
        </w:rPr>
        <w:t>sustainability</w:t>
      </w:r>
      <w:r w:rsidR="005A3348">
        <w:rPr>
          <w:rFonts w:ascii="Book Antiqua" w:eastAsiaTheme="majorEastAsia" w:hAnsi="Book Antiqua" w:cstheme="majorBidi"/>
        </w:rPr>
        <w:t>, and m</w:t>
      </w:r>
      <w:r w:rsidR="005A3348" w:rsidRPr="005A3348">
        <w:rPr>
          <w:rFonts w:ascii="Book Antiqua" w:eastAsiaTheme="majorEastAsia" w:hAnsi="Book Antiqua" w:cstheme="majorBidi"/>
        </w:rPr>
        <w:t>ainstreaming of gender equality and human rights</w:t>
      </w:r>
      <w:r>
        <w:rPr>
          <w:rFonts w:ascii="Book Antiqua" w:eastAsiaTheme="majorEastAsia" w:hAnsi="Book Antiqua" w:cstheme="majorBidi"/>
        </w:rPr>
        <w:t xml:space="preserve">. </w:t>
      </w:r>
      <w:r w:rsidR="00B744B9">
        <w:rPr>
          <w:rFonts w:ascii="Book Antiqua" w:eastAsiaTheme="majorEastAsia" w:hAnsi="Book Antiqua" w:cstheme="majorBidi"/>
        </w:rPr>
        <w:t>Key points of the conclusion are as follows.</w:t>
      </w:r>
    </w:p>
    <w:p w14:paraId="3843B614" w14:textId="23E7A45B" w:rsidR="00370ADD" w:rsidRDefault="00B744B9" w:rsidP="003D5ACE">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sidRPr="003D5ACE">
        <w:rPr>
          <w:rFonts w:ascii="Book Antiqua" w:eastAsiaTheme="majorEastAsia" w:hAnsi="Book Antiqua" w:cstheme="majorBidi"/>
          <w:b/>
          <w:bCs/>
        </w:rPr>
        <w:t>Relevance:</w:t>
      </w:r>
      <w:r w:rsidRPr="003D5ACE">
        <w:rPr>
          <w:rFonts w:ascii="Book Antiqua" w:eastAsiaTheme="majorEastAsia" w:hAnsi="Book Antiqua" w:cstheme="majorBidi"/>
        </w:rPr>
        <w:t xml:space="preserve"> NEASPEC stands out in the quality of dialogue that it facilitates and its ability to navigate sensitive political territory in its pursuit of environmental diplomacy. NEASPEC’s relevance is directly linked to its usefulness to its member States. It is aligned with achieving their obligations related to international treaties and the vision of </w:t>
      </w:r>
      <w:r w:rsidR="00DA7B0C">
        <w:rPr>
          <w:rFonts w:ascii="Book Antiqua" w:eastAsiaTheme="majorEastAsia" w:hAnsi="Book Antiqua" w:cstheme="majorBidi"/>
        </w:rPr>
        <w:t xml:space="preserve">the 2030 </w:t>
      </w:r>
      <w:r w:rsidRPr="003D5ACE">
        <w:rPr>
          <w:rFonts w:ascii="Book Antiqua" w:eastAsiaTheme="majorEastAsia" w:hAnsi="Book Antiqua" w:cstheme="majorBidi"/>
        </w:rPr>
        <w:t xml:space="preserve">Agenda </w:t>
      </w:r>
      <w:r w:rsidR="00DA7B0C">
        <w:rPr>
          <w:rFonts w:ascii="Book Antiqua" w:eastAsiaTheme="majorEastAsia" w:hAnsi="Book Antiqua" w:cstheme="majorBidi"/>
        </w:rPr>
        <w:t>for Sustainable Development</w:t>
      </w:r>
      <w:r w:rsidRPr="003D5ACE">
        <w:rPr>
          <w:rFonts w:ascii="Book Antiqua" w:eastAsiaTheme="majorEastAsia" w:hAnsi="Book Antiqua" w:cstheme="majorBidi"/>
        </w:rPr>
        <w:t>. However, NEASPEC’s ability to support and accelerate progress towards these commitments has not been fully recognized nor has its potential been purposely leveraged by its member States to this end.</w:t>
      </w:r>
      <w:r w:rsidR="00E90B52">
        <w:rPr>
          <w:rFonts w:ascii="Book Antiqua" w:eastAsiaTheme="majorEastAsia" w:hAnsi="Book Antiqua" w:cstheme="majorBidi"/>
        </w:rPr>
        <w:t xml:space="preserve"> This is evidenced by</w:t>
      </w:r>
      <w:r w:rsidR="00E90B52" w:rsidRPr="00E90B52">
        <w:rPr>
          <w:rFonts w:ascii="Book Antiqua" w:eastAsiaTheme="majorEastAsia" w:hAnsi="Book Antiqua" w:cstheme="majorBidi"/>
        </w:rPr>
        <w:t xml:space="preserve">: </w:t>
      </w:r>
      <w:proofErr w:type="spellStart"/>
      <w:r w:rsidR="00E90B52" w:rsidRPr="00E90B52">
        <w:rPr>
          <w:rFonts w:ascii="Book Antiqua" w:eastAsiaTheme="majorEastAsia" w:hAnsi="Book Antiqua" w:cstheme="majorBidi"/>
        </w:rPr>
        <w:t>i</w:t>
      </w:r>
      <w:proofErr w:type="spellEnd"/>
      <w:r w:rsidR="00E90B52" w:rsidRPr="00E90B52">
        <w:rPr>
          <w:rFonts w:ascii="Book Antiqua" w:eastAsiaTheme="majorEastAsia" w:hAnsi="Book Antiqua" w:cstheme="majorBidi"/>
        </w:rPr>
        <w:t>) member States’ shortfall in staffing its governing body, the SOM, with sufficiently high level decision-makers; ii) frequent change</w:t>
      </w:r>
      <w:r w:rsidR="00E90B52">
        <w:rPr>
          <w:rFonts w:ascii="Book Antiqua" w:eastAsiaTheme="majorEastAsia" w:hAnsi="Book Antiqua" w:cstheme="majorBidi"/>
        </w:rPr>
        <w:t>s</w:t>
      </w:r>
      <w:r w:rsidR="00E90B52" w:rsidRPr="00E90B52">
        <w:rPr>
          <w:rFonts w:ascii="Book Antiqua" w:eastAsiaTheme="majorEastAsia" w:hAnsi="Book Antiqua" w:cstheme="majorBidi"/>
        </w:rPr>
        <w:t xml:space="preserve"> of the National Focal Points</w:t>
      </w:r>
      <w:r w:rsidR="00ED30FC">
        <w:rPr>
          <w:rFonts w:ascii="Book Antiqua" w:eastAsiaTheme="majorEastAsia" w:hAnsi="Book Antiqua" w:cstheme="majorBidi"/>
        </w:rPr>
        <w:t xml:space="preserve"> affecting effectiveness and efficiency of the network</w:t>
      </w:r>
      <w:r w:rsidR="00E90B52" w:rsidRPr="00E90B52">
        <w:rPr>
          <w:rFonts w:ascii="Book Antiqua" w:eastAsiaTheme="majorEastAsia" w:hAnsi="Book Antiqua" w:cstheme="majorBidi"/>
        </w:rPr>
        <w:t>; iii) slow pace in comprehensively pursuing transboundary challenges; and iv) not ensuring a reliable, independent, adequate funding stream to enable this platform to pursue a higher level of ambition</w:t>
      </w:r>
      <w:r w:rsidR="00E90B52">
        <w:rPr>
          <w:rFonts w:ascii="Book Antiqua" w:eastAsiaTheme="majorEastAsia" w:hAnsi="Book Antiqua" w:cstheme="majorBidi"/>
        </w:rPr>
        <w:t>.</w:t>
      </w:r>
    </w:p>
    <w:p w14:paraId="4FCA9F6D" w14:textId="5663E841" w:rsidR="00B744B9" w:rsidRDefault="00B744B9" w:rsidP="003D5ACE">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sidRPr="003D5ACE">
        <w:rPr>
          <w:rFonts w:ascii="Book Antiqua" w:eastAsiaTheme="majorEastAsia" w:hAnsi="Book Antiqua" w:cstheme="majorBidi"/>
          <w:b/>
          <w:bCs/>
        </w:rPr>
        <w:t>Effectiveness:</w:t>
      </w:r>
      <w:r w:rsidRPr="003D5ACE">
        <w:rPr>
          <w:rFonts w:ascii="Book Antiqua" w:eastAsiaTheme="majorEastAsia" w:hAnsi="Book Antiqua" w:cstheme="majorBidi"/>
        </w:rPr>
        <w:t xml:space="preserve"> NEASPEC’s effectiveness has been judged as very high</w:t>
      </w:r>
      <w:r w:rsidR="00E27D99">
        <w:rPr>
          <w:rFonts w:ascii="Book Antiqua" w:eastAsiaTheme="majorEastAsia" w:hAnsi="Book Antiqua" w:cstheme="majorBidi"/>
        </w:rPr>
        <w:t xml:space="preserve"> </w:t>
      </w:r>
      <w:r w:rsidR="00E27D99" w:rsidRPr="00E27D99">
        <w:rPr>
          <w:rFonts w:ascii="Book Antiqua" w:eastAsiaTheme="majorEastAsia" w:hAnsi="Book Antiqua" w:cstheme="majorBidi"/>
        </w:rPr>
        <w:t>based on its capacity to facilitate cooperation amongst six very diverse nations, integrate technical experts’ input, respond to requests and proposals from member States and ESCAP, its respect of agreed protocols, and the timely implementation of decisions made through its key governance mechanism, the SOM</w:t>
      </w:r>
      <w:r w:rsidRPr="003D5ACE">
        <w:rPr>
          <w:rFonts w:ascii="Book Antiqua" w:eastAsiaTheme="majorEastAsia" w:hAnsi="Book Antiqua" w:cstheme="majorBidi"/>
        </w:rPr>
        <w:t xml:space="preserve">. In functioning as a comprehensive intergovernmental mechanism, NEASPEC provides a useful infrastructure for multi-state discussion and cooperation on environmental issues. The way in which NEASPEC’s thematic agenda has evolved reflects a blend of technical and diplomatic opportunities, which reflect a mix of inputs and direction </w:t>
      </w:r>
      <w:r w:rsidR="003D5ACE" w:rsidRPr="003D5ACE">
        <w:rPr>
          <w:rFonts w:ascii="Book Antiqua" w:eastAsiaTheme="majorEastAsia" w:hAnsi="Book Antiqua" w:cstheme="majorBidi"/>
        </w:rPr>
        <w:lastRenderedPageBreak/>
        <w:t>channeled</w:t>
      </w:r>
      <w:r w:rsidRPr="003D5ACE">
        <w:rPr>
          <w:rFonts w:ascii="Book Antiqua" w:eastAsiaTheme="majorEastAsia" w:hAnsi="Book Antiqua" w:cstheme="majorBidi"/>
        </w:rPr>
        <w:t xml:space="preserve"> from stakeholders (member States</w:t>
      </w:r>
      <w:r w:rsidR="00DA7B0C">
        <w:rPr>
          <w:rFonts w:ascii="Book Antiqua" w:eastAsiaTheme="majorEastAsia" w:hAnsi="Book Antiqua" w:cstheme="majorBidi"/>
        </w:rPr>
        <w:t xml:space="preserve"> and</w:t>
      </w:r>
      <w:r w:rsidRPr="003D5ACE">
        <w:rPr>
          <w:rFonts w:ascii="Book Antiqua" w:eastAsiaTheme="majorEastAsia" w:hAnsi="Book Antiqua" w:cstheme="majorBidi"/>
        </w:rPr>
        <w:t xml:space="preserve"> project partners) mediated by the NEASPEC Secretariat.</w:t>
      </w:r>
      <w:r w:rsidR="003D5ACE" w:rsidRPr="003D5ACE">
        <w:t xml:space="preserve"> </w:t>
      </w:r>
      <w:r w:rsidR="003D5ACE" w:rsidRPr="003D5ACE">
        <w:rPr>
          <w:rFonts w:ascii="Book Antiqua" w:eastAsiaTheme="majorEastAsia" w:hAnsi="Book Antiqua" w:cstheme="majorBidi"/>
        </w:rPr>
        <w:t xml:space="preserve">There are opportunities to strengthen the alignment of NEASPEC’s programmatic agenda and its implementation with the notions encapsulated in its initial framework, vision statement, and strategic plan, consistent with an ‘end game’ that deepens within-country and transboundary commitments to environmental cooperation, thereby intentionally accelerating progress towards </w:t>
      </w:r>
      <w:r w:rsidR="00DA7B0C">
        <w:rPr>
          <w:rFonts w:ascii="Book Antiqua" w:eastAsiaTheme="majorEastAsia" w:hAnsi="Book Antiqua" w:cstheme="majorBidi"/>
        </w:rPr>
        <w:t xml:space="preserve">the 2030 </w:t>
      </w:r>
      <w:r w:rsidR="003D5ACE" w:rsidRPr="003D5ACE">
        <w:rPr>
          <w:rFonts w:ascii="Book Antiqua" w:eastAsiaTheme="majorEastAsia" w:hAnsi="Book Antiqua" w:cstheme="majorBidi"/>
        </w:rPr>
        <w:t xml:space="preserve">Agenda. </w:t>
      </w:r>
    </w:p>
    <w:p w14:paraId="5FD9CC17" w14:textId="6449082E" w:rsidR="005A3348" w:rsidRPr="005A3348" w:rsidRDefault="003D5ACE" w:rsidP="005A3348">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sidRPr="005A3348">
        <w:rPr>
          <w:rFonts w:ascii="Book Antiqua" w:eastAsiaTheme="majorEastAsia" w:hAnsi="Book Antiqua" w:cstheme="majorBidi"/>
          <w:b/>
          <w:bCs/>
        </w:rPr>
        <w:t>Efficiency:</w:t>
      </w:r>
      <w:r w:rsidRPr="005A3348">
        <w:rPr>
          <w:rFonts w:ascii="Book Antiqua" w:eastAsiaTheme="majorEastAsia" w:hAnsi="Book Antiqua" w:cstheme="majorBidi"/>
        </w:rPr>
        <w:t xml:space="preserve"> </w:t>
      </w:r>
      <w:r w:rsidR="005A3348" w:rsidRPr="005A3348">
        <w:rPr>
          <w:rFonts w:ascii="Book Antiqua" w:eastAsiaTheme="majorEastAsia" w:hAnsi="Book Antiqua" w:cstheme="majorBidi"/>
        </w:rPr>
        <w:t>Using efficiency as a key criterion to assess NEASPEC's relevance and contributions risks distracting attention from focusing on the nature and impact of its contribution. Imposing an efficiency regime onto this mechanism would defeat NEASPEC's purpose and undermine the strength of its political and diplomatic functions.</w:t>
      </w:r>
      <w:r w:rsidR="0080171B">
        <w:rPr>
          <w:rFonts w:ascii="Book Antiqua" w:eastAsiaTheme="majorEastAsia" w:hAnsi="Book Antiqua" w:cstheme="majorBidi"/>
        </w:rPr>
        <w:t xml:space="preserve"> </w:t>
      </w:r>
      <w:r w:rsidR="0080171B" w:rsidRPr="00572521">
        <w:rPr>
          <w:rFonts w:ascii="Book Antiqua" w:hAnsi="Book Antiqua"/>
        </w:rPr>
        <w:t>The SOM being negatively affected by the frequency of change of national focal points , loss of institutional memory), which is seen as a major drag on NEASPEC’s efficiency, given that its key governing body only meets once year and operates with consensus decision-making.  NEASPEC has an opportunity to improve efficiency by enhancing synergies with other regional mechanisms in the region and by welcoming voluntary secondments to more efficiently connect with all member States for regular consultation and solicitation of input/positions.</w:t>
      </w:r>
      <w:r w:rsidR="005A3348" w:rsidRPr="005A3348">
        <w:rPr>
          <w:rFonts w:ascii="Book Antiqua" w:eastAsiaTheme="majorEastAsia" w:hAnsi="Book Antiqua" w:cstheme="majorBidi"/>
        </w:rPr>
        <w:t xml:space="preserve"> </w:t>
      </w:r>
    </w:p>
    <w:p w14:paraId="6BCA7507" w14:textId="5CEF4C67" w:rsidR="003D5ACE" w:rsidRDefault="005A3348" w:rsidP="003D5ACE">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sidRPr="005A3348">
        <w:rPr>
          <w:rFonts w:ascii="Book Antiqua" w:eastAsiaTheme="majorEastAsia" w:hAnsi="Book Antiqua" w:cstheme="majorBidi"/>
          <w:b/>
          <w:bCs/>
        </w:rPr>
        <w:t>Sustainability, resource mobilization, partnership arrangements:</w:t>
      </w:r>
      <w:r w:rsidRPr="005A3348">
        <w:t xml:space="preserve"> </w:t>
      </w:r>
      <w:r w:rsidRPr="005A3348">
        <w:rPr>
          <w:rFonts w:ascii="Book Antiqua" w:eastAsiaTheme="majorEastAsia" w:hAnsi="Book Antiqua" w:cstheme="majorBidi"/>
        </w:rPr>
        <w:t>As long as NEASPEC reflects the will of the member States, its sustainability is not in question</w:t>
      </w:r>
      <w:r>
        <w:rPr>
          <w:rFonts w:ascii="Book Antiqua" w:eastAsiaTheme="majorEastAsia" w:hAnsi="Book Antiqua" w:cstheme="majorBidi"/>
        </w:rPr>
        <w:t xml:space="preserve">. </w:t>
      </w:r>
      <w:r w:rsidRPr="005A3348">
        <w:rPr>
          <w:rFonts w:ascii="Book Antiqua" w:eastAsiaTheme="majorEastAsia" w:hAnsi="Book Antiqua" w:cstheme="majorBidi"/>
        </w:rPr>
        <w:t>The intergovernmental cooperation under NEASPEC would be more effectively served through the provision of unearmarked funds and a reliable, forecastable, and adequate flow of resources consistent with its ability to play a more visible, progressive, and impactful role</w:t>
      </w:r>
      <w:r>
        <w:rPr>
          <w:rFonts w:ascii="Book Antiqua" w:eastAsiaTheme="majorEastAsia" w:hAnsi="Book Antiqua" w:cstheme="majorBidi"/>
        </w:rPr>
        <w:t>.</w:t>
      </w:r>
      <w:r w:rsidRPr="005A3348">
        <w:rPr>
          <w:rFonts w:ascii="Book Antiqua" w:eastAsiaTheme="majorEastAsia" w:hAnsi="Book Antiqua" w:cstheme="majorBidi"/>
        </w:rPr>
        <w:tab/>
        <w:t>A</w:t>
      </w:r>
      <w:r w:rsidR="00572521">
        <w:rPr>
          <w:rFonts w:ascii="Book Antiqua" w:eastAsiaTheme="majorEastAsia" w:hAnsi="Book Antiqua" w:cstheme="majorBidi"/>
        </w:rPr>
        <w:t xml:space="preserve"> </w:t>
      </w:r>
      <w:r w:rsidRPr="005A3348">
        <w:rPr>
          <w:rFonts w:ascii="Book Antiqua" w:eastAsiaTheme="majorEastAsia" w:hAnsi="Book Antiqua" w:cstheme="majorBidi"/>
        </w:rPr>
        <w:t>more</w:t>
      </w:r>
      <w:r>
        <w:rPr>
          <w:rFonts w:ascii="Book Antiqua" w:eastAsiaTheme="majorEastAsia" w:hAnsi="Book Antiqua" w:cstheme="majorBidi"/>
        </w:rPr>
        <w:t xml:space="preserve"> </w:t>
      </w:r>
      <w:r w:rsidRPr="005A3348">
        <w:rPr>
          <w:rFonts w:ascii="Book Antiqua" w:eastAsiaTheme="majorEastAsia" w:hAnsi="Book Antiqua" w:cstheme="majorBidi"/>
        </w:rPr>
        <w:t>strategic approach to partnership that goes beyond the transactional engagement of national institutes would unleash further financial and in-kind support from project partners. This could also drive catalytic impact</w:t>
      </w:r>
      <w:r w:rsidR="0026264B">
        <w:rPr>
          <w:rFonts w:ascii="Book Antiqua" w:eastAsiaTheme="majorEastAsia" w:hAnsi="Book Antiqua" w:cstheme="majorBidi"/>
        </w:rPr>
        <w:t>,</w:t>
      </w:r>
      <w:r w:rsidRPr="005A3348">
        <w:rPr>
          <w:rFonts w:ascii="Book Antiqua" w:eastAsiaTheme="majorEastAsia" w:hAnsi="Book Antiqua" w:cstheme="majorBidi"/>
        </w:rPr>
        <w:t xml:space="preserve"> provid</w:t>
      </w:r>
      <w:r>
        <w:rPr>
          <w:rFonts w:ascii="Book Antiqua" w:eastAsiaTheme="majorEastAsia" w:hAnsi="Book Antiqua" w:cstheme="majorBidi"/>
        </w:rPr>
        <w:t>e</w:t>
      </w:r>
      <w:r w:rsidR="0026264B">
        <w:rPr>
          <w:rFonts w:ascii="Book Antiqua" w:eastAsiaTheme="majorEastAsia" w:hAnsi="Book Antiqua" w:cstheme="majorBidi"/>
        </w:rPr>
        <w:t>d</w:t>
      </w:r>
      <w:r w:rsidRPr="005A3348">
        <w:rPr>
          <w:rFonts w:ascii="Book Antiqua" w:eastAsiaTheme="majorEastAsia" w:hAnsi="Book Antiqua" w:cstheme="majorBidi"/>
        </w:rPr>
        <w:t xml:space="preserve"> that project partners could be linked together in a more formalized way</w:t>
      </w:r>
      <w:r w:rsidR="0026264B">
        <w:rPr>
          <w:rFonts w:ascii="Book Antiqua" w:eastAsiaTheme="majorEastAsia" w:hAnsi="Book Antiqua" w:cstheme="majorBidi"/>
        </w:rPr>
        <w:t xml:space="preserve"> under NEASPEC</w:t>
      </w:r>
      <w:r w:rsidRPr="005A3348">
        <w:rPr>
          <w:rFonts w:ascii="Book Antiqua" w:eastAsiaTheme="majorEastAsia" w:hAnsi="Book Antiqua" w:cstheme="majorBidi"/>
        </w:rPr>
        <w:t>.</w:t>
      </w:r>
    </w:p>
    <w:p w14:paraId="0CE0D9E1" w14:textId="771CC21A" w:rsidR="005A3348" w:rsidRPr="005A3348" w:rsidRDefault="005A3348" w:rsidP="005A3348">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sidRPr="005A3348">
        <w:rPr>
          <w:rFonts w:ascii="Book Antiqua" w:eastAsiaTheme="majorEastAsia" w:hAnsi="Book Antiqua" w:cstheme="majorBidi"/>
          <w:b/>
          <w:bCs/>
        </w:rPr>
        <w:t>Mainstreaming of gender equality and human rights</w:t>
      </w:r>
      <w:r>
        <w:rPr>
          <w:rFonts w:ascii="Book Antiqua" w:eastAsiaTheme="majorEastAsia" w:hAnsi="Book Antiqua" w:cstheme="majorBidi"/>
          <w:b/>
          <w:bCs/>
        </w:rPr>
        <w:t xml:space="preserve"> (GE/HR)</w:t>
      </w:r>
      <w:r w:rsidRPr="005A3348">
        <w:rPr>
          <w:rFonts w:ascii="Book Antiqua" w:eastAsiaTheme="majorEastAsia" w:hAnsi="Book Antiqua" w:cstheme="majorBidi"/>
          <w:b/>
          <w:bCs/>
        </w:rPr>
        <w:t xml:space="preserve">: </w:t>
      </w:r>
      <w:r w:rsidRPr="005A3348">
        <w:rPr>
          <w:rFonts w:ascii="Book Antiqua" w:eastAsiaTheme="majorEastAsia" w:hAnsi="Book Antiqua" w:cstheme="majorBidi"/>
        </w:rPr>
        <w:t>While acknowledging there are differing notions across the member States regarding the pace and way in which to approach GE/HR, by virtue of NEASPEC</w:t>
      </w:r>
      <w:r w:rsidR="0026264B">
        <w:rPr>
          <w:rFonts w:ascii="Book Antiqua" w:eastAsiaTheme="majorEastAsia" w:hAnsi="Book Antiqua" w:cstheme="majorBidi"/>
        </w:rPr>
        <w:t>’</w:t>
      </w:r>
      <w:r w:rsidRPr="005A3348">
        <w:rPr>
          <w:rFonts w:ascii="Book Antiqua" w:eastAsiaTheme="majorEastAsia" w:hAnsi="Book Antiqua" w:cstheme="majorBidi"/>
        </w:rPr>
        <w:t xml:space="preserve">s </w:t>
      </w:r>
      <w:r w:rsidR="00373754">
        <w:rPr>
          <w:rFonts w:ascii="Book Antiqua" w:eastAsiaTheme="majorEastAsia" w:hAnsi="Book Antiqua" w:cstheme="majorBidi"/>
        </w:rPr>
        <w:t>association</w:t>
      </w:r>
      <w:r w:rsidR="00373754" w:rsidRPr="005A3348">
        <w:rPr>
          <w:rFonts w:ascii="Book Antiqua" w:eastAsiaTheme="majorEastAsia" w:hAnsi="Book Antiqua" w:cstheme="majorBidi"/>
        </w:rPr>
        <w:t xml:space="preserve"> </w:t>
      </w:r>
      <w:r w:rsidRPr="005A3348">
        <w:rPr>
          <w:rFonts w:ascii="Book Antiqua" w:eastAsiaTheme="majorEastAsia" w:hAnsi="Book Antiqua" w:cstheme="majorBidi"/>
        </w:rPr>
        <w:t xml:space="preserve">with and resourcing under </w:t>
      </w:r>
      <w:r w:rsidR="00373754">
        <w:rPr>
          <w:rFonts w:ascii="Book Antiqua" w:eastAsiaTheme="majorEastAsia" w:hAnsi="Book Antiqua" w:cstheme="majorBidi"/>
        </w:rPr>
        <w:t>ESCAP</w:t>
      </w:r>
      <w:r w:rsidRPr="005A3348">
        <w:rPr>
          <w:rFonts w:ascii="Book Antiqua" w:eastAsiaTheme="majorEastAsia" w:hAnsi="Book Antiqua" w:cstheme="majorBidi"/>
        </w:rPr>
        <w:t>, there is an obligation to address these issues driven from the highest UN level. The recognition that addressing GE/HR is integral to achieving sustainable development provides a way forward. In this light, potentially non-controversial entry points within NEASPEC</w:t>
      </w:r>
      <w:r w:rsidR="008F3D75">
        <w:rPr>
          <w:rFonts w:ascii="Book Antiqua" w:eastAsiaTheme="majorEastAsia" w:hAnsi="Book Antiqua" w:cstheme="majorBidi"/>
        </w:rPr>
        <w:t>’</w:t>
      </w:r>
      <w:r w:rsidRPr="005A3348">
        <w:rPr>
          <w:rFonts w:ascii="Book Antiqua" w:eastAsiaTheme="majorEastAsia" w:hAnsi="Book Antiqua" w:cstheme="majorBidi"/>
        </w:rPr>
        <w:t xml:space="preserve">s work on </w:t>
      </w:r>
      <w:r>
        <w:rPr>
          <w:rFonts w:ascii="Book Antiqua" w:eastAsiaTheme="majorEastAsia" w:hAnsi="Book Antiqua" w:cstheme="majorBidi"/>
        </w:rPr>
        <w:t>land degradation, marine protected areas and low carbon cities</w:t>
      </w:r>
      <w:r w:rsidRPr="005A3348">
        <w:rPr>
          <w:rFonts w:ascii="Book Antiqua" w:eastAsiaTheme="majorEastAsia" w:hAnsi="Book Antiqua" w:cstheme="majorBidi"/>
        </w:rPr>
        <w:t xml:space="preserve"> that have been identified provide a foundation on which to build further.</w:t>
      </w:r>
    </w:p>
    <w:p w14:paraId="336DE128" w14:textId="742ED8F9" w:rsidR="005A3348" w:rsidRPr="005A3348" w:rsidRDefault="00240F82" w:rsidP="003D5ACE">
      <w:pPr>
        <w:pStyle w:val="ListParagraph"/>
        <w:numPr>
          <w:ilvl w:val="0"/>
          <w:numId w:val="3"/>
        </w:numPr>
        <w:spacing w:after="120" w:line="340" w:lineRule="atLeast"/>
        <w:ind w:left="0" w:firstLine="0"/>
        <w:contextualSpacing w:val="0"/>
        <w:jc w:val="both"/>
        <w:rPr>
          <w:rFonts w:ascii="Book Antiqua" w:eastAsiaTheme="majorEastAsia" w:hAnsi="Book Antiqua" w:cstheme="majorBidi"/>
          <w:b/>
          <w:bCs/>
        </w:rPr>
      </w:pPr>
      <w:r>
        <w:rPr>
          <w:rFonts w:ascii="Book Antiqua" w:eastAsiaTheme="majorEastAsia" w:hAnsi="Book Antiqua" w:cstheme="majorBidi"/>
          <w:b/>
          <w:bCs/>
        </w:rPr>
        <w:t>S</w:t>
      </w:r>
      <w:r w:rsidRPr="00240F82">
        <w:rPr>
          <w:rFonts w:ascii="Book Antiqua" w:eastAsiaTheme="majorEastAsia" w:hAnsi="Book Antiqua" w:cstheme="majorBidi"/>
          <w:b/>
          <w:bCs/>
        </w:rPr>
        <w:t>trengths and weaknesses of the institutional and organizational set-up</w:t>
      </w:r>
      <w:r>
        <w:rPr>
          <w:rFonts w:ascii="Book Antiqua" w:eastAsiaTheme="majorEastAsia" w:hAnsi="Book Antiqua" w:cstheme="majorBidi"/>
          <w:b/>
          <w:bCs/>
        </w:rPr>
        <w:t xml:space="preserve">: </w:t>
      </w:r>
      <w:r w:rsidRPr="00240F82">
        <w:rPr>
          <w:rFonts w:ascii="Book Antiqua" w:eastAsiaTheme="majorEastAsia" w:hAnsi="Book Antiqua" w:cstheme="majorBidi"/>
        </w:rPr>
        <w:t xml:space="preserve">Mid-level SOM participation, frequent </w:t>
      </w:r>
      <w:r>
        <w:rPr>
          <w:rFonts w:ascii="Book Antiqua" w:eastAsiaTheme="majorEastAsia" w:hAnsi="Book Antiqua" w:cstheme="majorBidi"/>
        </w:rPr>
        <w:t xml:space="preserve">NFP </w:t>
      </w:r>
      <w:r w:rsidRPr="00240F82">
        <w:rPr>
          <w:rFonts w:ascii="Book Antiqua" w:eastAsiaTheme="majorEastAsia" w:hAnsi="Book Antiqua" w:cstheme="majorBidi"/>
        </w:rPr>
        <w:t>changes, maintaining a voluntary approach</w:t>
      </w:r>
      <w:r w:rsidR="008F3D75">
        <w:rPr>
          <w:rFonts w:ascii="Book Antiqua" w:eastAsiaTheme="majorEastAsia" w:hAnsi="Book Antiqua" w:cstheme="majorBidi"/>
        </w:rPr>
        <w:t>,</w:t>
      </w:r>
      <w:r w:rsidRPr="00240F82">
        <w:rPr>
          <w:rFonts w:ascii="Book Antiqua" w:eastAsiaTheme="majorEastAsia" w:hAnsi="Book Antiqua" w:cstheme="majorBidi"/>
        </w:rPr>
        <w:t xml:space="preserve"> and providing minimal resourcing </w:t>
      </w:r>
      <w:r w:rsidR="008F3D75">
        <w:rPr>
          <w:rFonts w:ascii="Book Antiqua" w:eastAsiaTheme="majorEastAsia" w:hAnsi="Book Antiqua" w:cstheme="majorBidi"/>
        </w:rPr>
        <w:t>could</w:t>
      </w:r>
      <w:r w:rsidRPr="00240F82">
        <w:rPr>
          <w:rFonts w:ascii="Book Antiqua" w:eastAsiaTheme="majorEastAsia" w:hAnsi="Book Antiqua" w:cstheme="majorBidi"/>
        </w:rPr>
        <w:t xml:space="preserve"> be seen as indicators of the political will of member States. This </w:t>
      </w:r>
      <w:r w:rsidRPr="00240F82">
        <w:rPr>
          <w:rFonts w:ascii="Book Antiqua" w:eastAsiaTheme="majorEastAsia" w:hAnsi="Book Antiqua" w:cstheme="majorBidi"/>
        </w:rPr>
        <w:lastRenderedPageBreak/>
        <w:t>approach could indeed reflect a deliberate political will to operate in a measured and prudent manner, taking all interests into account, not just the environmental agenda.</w:t>
      </w:r>
      <w:r>
        <w:rPr>
          <w:rFonts w:ascii="Book Antiqua" w:eastAsiaTheme="majorEastAsia" w:hAnsi="Book Antiqua" w:cstheme="majorBidi"/>
        </w:rPr>
        <w:t xml:space="preserve"> </w:t>
      </w:r>
      <w:r w:rsidRPr="00240F82">
        <w:rPr>
          <w:rFonts w:ascii="Book Antiqua" w:eastAsiaTheme="majorEastAsia" w:hAnsi="Book Antiqua" w:cstheme="majorBidi"/>
        </w:rPr>
        <w:t xml:space="preserve">The profile and impact of NEASPEC’s activities related to </w:t>
      </w:r>
      <w:r>
        <w:rPr>
          <w:rFonts w:ascii="Book Antiqua" w:eastAsiaTheme="majorEastAsia" w:hAnsi="Book Antiqua" w:cstheme="majorBidi"/>
        </w:rPr>
        <w:t>air pollution</w:t>
      </w:r>
      <w:r w:rsidRPr="00240F82">
        <w:rPr>
          <w:rFonts w:ascii="Book Antiqua" w:eastAsiaTheme="majorEastAsia" w:hAnsi="Book Antiqua" w:cstheme="majorBidi"/>
        </w:rPr>
        <w:t xml:space="preserve"> clearly demonstrate the catalytic impact of strengthening the ‘push-pull’ dynamic between NEASPEC and ESCAP. There is a golden opportunity to link NEASPEC’s </w:t>
      </w:r>
      <w:r w:rsidRPr="00240F82">
        <w:rPr>
          <w:rFonts w:ascii="Book Antiqua" w:eastAsiaTheme="majorEastAsia" w:hAnsi="Book Antiqua" w:cstheme="majorBidi"/>
          <w:i/>
          <w:iCs/>
        </w:rPr>
        <w:t>raison d’être</w:t>
      </w:r>
      <w:r w:rsidRPr="00240F82">
        <w:rPr>
          <w:rFonts w:ascii="Book Antiqua" w:eastAsiaTheme="majorEastAsia" w:hAnsi="Book Antiqua" w:cstheme="majorBidi"/>
        </w:rPr>
        <w:t xml:space="preserve"> more strongly to achieving member State</w:t>
      </w:r>
      <w:r w:rsidR="008F3D75">
        <w:rPr>
          <w:rFonts w:ascii="Book Antiqua" w:eastAsiaTheme="majorEastAsia" w:hAnsi="Book Antiqua" w:cstheme="majorBidi"/>
        </w:rPr>
        <w:t>s’</w:t>
      </w:r>
      <w:r w:rsidRPr="00240F82">
        <w:rPr>
          <w:rFonts w:ascii="Book Antiqua" w:eastAsiaTheme="majorEastAsia" w:hAnsi="Book Antiqua" w:cstheme="majorBidi"/>
        </w:rPr>
        <w:t xml:space="preserve"> obligations related to international treaties and </w:t>
      </w:r>
      <w:r w:rsidR="00D0115A">
        <w:rPr>
          <w:rFonts w:ascii="Book Antiqua" w:eastAsiaTheme="majorEastAsia" w:hAnsi="Book Antiqua" w:cstheme="majorBidi"/>
        </w:rPr>
        <w:t xml:space="preserve">the 2030 </w:t>
      </w:r>
      <w:r w:rsidRPr="00240F82">
        <w:rPr>
          <w:rFonts w:ascii="Book Antiqua" w:eastAsiaTheme="majorEastAsia" w:hAnsi="Book Antiqua" w:cstheme="majorBidi"/>
        </w:rPr>
        <w:t>Agenda.</w:t>
      </w:r>
    </w:p>
    <w:p w14:paraId="13FC0AFF" w14:textId="6212EE15" w:rsidR="006A51D1" w:rsidRDefault="006A51D1" w:rsidP="006A51D1">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Pr>
          <w:rFonts w:ascii="Book Antiqua" w:eastAsiaTheme="majorEastAsia" w:hAnsi="Book Antiqua" w:cstheme="majorBidi"/>
        </w:rPr>
        <w:t xml:space="preserve">The following paragraphs provide </w:t>
      </w:r>
      <w:r w:rsidR="00D0115A">
        <w:rPr>
          <w:rFonts w:ascii="Book Antiqua" w:eastAsiaTheme="majorEastAsia" w:hAnsi="Book Antiqua" w:cstheme="majorBidi"/>
        </w:rPr>
        <w:t xml:space="preserve">an overview of the </w:t>
      </w:r>
      <w:r>
        <w:rPr>
          <w:rFonts w:ascii="Book Antiqua" w:eastAsiaTheme="majorEastAsia" w:hAnsi="Book Antiqua" w:cstheme="majorBidi"/>
        </w:rPr>
        <w:t xml:space="preserve">recommendations </w:t>
      </w:r>
      <w:r w:rsidR="00D0115A">
        <w:rPr>
          <w:rFonts w:ascii="Book Antiqua" w:eastAsiaTheme="majorEastAsia" w:hAnsi="Book Antiqua" w:cstheme="majorBidi"/>
        </w:rPr>
        <w:t xml:space="preserve">excerpted from the evaluation report, </w:t>
      </w:r>
      <w:r>
        <w:rPr>
          <w:rFonts w:ascii="Book Antiqua" w:eastAsiaTheme="majorEastAsia" w:hAnsi="Book Antiqua" w:cstheme="majorBidi"/>
        </w:rPr>
        <w:t>and describe the actions taken by the NEASPEC</w:t>
      </w:r>
      <w:r w:rsidR="000A6FC6">
        <w:rPr>
          <w:rFonts w:ascii="Book Antiqua" w:eastAsiaTheme="majorEastAsia" w:hAnsi="Book Antiqua" w:cstheme="majorBidi"/>
        </w:rPr>
        <w:t xml:space="preserve"> and </w:t>
      </w:r>
      <w:r>
        <w:rPr>
          <w:rFonts w:ascii="Book Antiqua" w:eastAsiaTheme="majorEastAsia" w:hAnsi="Book Antiqua" w:cstheme="majorBidi"/>
        </w:rPr>
        <w:t xml:space="preserve">ESCAP to address the recommendations </w:t>
      </w:r>
      <w:r w:rsidR="008F3D75">
        <w:rPr>
          <w:rFonts w:ascii="Book Antiqua" w:eastAsiaTheme="majorEastAsia" w:hAnsi="Book Antiqua" w:cstheme="majorBidi"/>
        </w:rPr>
        <w:t>as well as</w:t>
      </w:r>
      <w:r>
        <w:rPr>
          <w:rFonts w:ascii="Book Antiqua" w:eastAsiaTheme="majorEastAsia" w:hAnsi="Book Antiqua" w:cstheme="majorBidi"/>
        </w:rPr>
        <w:t xml:space="preserve"> further actions it may wish to consider in that regard.</w:t>
      </w:r>
    </w:p>
    <w:p w14:paraId="0B4473AC" w14:textId="77777777" w:rsidR="002D19EF" w:rsidRDefault="002D19EF" w:rsidP="002D19EF">
      <w:pPr>
        <w:pStyle w:val="ListParagraph"/>
        <w:spacing w:after="120" w:line="340" w:lineRule="atLeast"/>
        <w:ind w:left="0"/>
        <w:contextualSpacing w:val="0"/>
        <w:jc w:val="both"/>
        <w:rPr>
          <w:rFonts w:ascii="Book Antiqua" w:eastAsiaTheme="majorEastAsia" w:hAnsi="Book Antiqua" w:cstheme="majorBidi"/>
        </w:rPr>
      </w:pPr>
    </w:p>
    <w:tbl>
      <w:tblPr>
        <w:tblStyle w:val="TableGrid"/>
        <w:tblW w:w="9356" w:type="dxa"/>
        <w:tblInd w:w="-5" w:type="dxa"/>
        <w:tblLook w:val="04A0" w:firstRow="1" w:lastRow="0" w:firstColumn="1" w:lastColumn="0" w:noHBand="0" w:noVBand="1"/>
      </w:tblPr>
      <w:tblGrid>
        <w:gridCol w:w="2552"/>
        <w:gridCol w:w="6804"/>
      </w:tblGrid>
      <w:tr w:rsidR="005528FB" w:rsidRPr="00462E9A" w14:paraId="7E593B16" w14:textId="77777777" w:rsidTr="005528FB">
        <w:tc>
          <w:tcPr>
            <w:tcW w:w="2552" w:type="dxa"/>
          </w:tcPr>
          <w:p w14:paraId="560C7F58" w14:textId="387E34E7" w:rsidR="001B1388" w:rsidRPr="00462E9A" w:rsidRDefault="005528FB" w:rsidP="0077743F">
            <w:pPr>
              <w:tabs>
                <w:tab w:val="left" w:pos="2127"/>
              </w:tabs>
              <w:spacing w:after="60"/>
              <w:ind w:right="176"/>
              <w:rPr>
                <w:rFonts w:ascii="Book Antiqua" w:hAnsi="Book Antiqua" w:cstheme="minorHAnsi"/>
                <w:i/>
                <w:iCs/>
              </w:rPr>
            </w:pPr>
            <w:r w:rsidRPr="00462E9A">
              <w:rPr>
                <w:rFonts w:ascii="Book Antiqua" w:hAnsi="Book Antiqua" w:cstheme="minorHAnsi"/>
                <w:i/>
                <w:iCs/>
              </w:rPr>
              <w:t>Recommendation 1:</w:t>
            </w:r>
          </w:p>
          <w:p w14:paraId="51D8B3EE" w14:textId="27E552E4" w:rsidR="005528FB" w:rsidRPr="00462E9A" w:rsidRDefault="005528FB" w:rsidP="0077743F">
            <w:pPr>
              <w:tabs>
                <w:tab w:val="left" w:pos="2127"/>
              </w:tabs>
              <w:ind w:right="177"/>
              <w:rPr>
                <w:rFonts w:ascii="Book Antiqua" w:hAnsi="Book Antiqua" w:cstheme="minorHAnsi"/>
                <w:i/>
                <w:iCs/>
              </w:rPr>
            </w:pPr>
            <w:r w:rsidRPr="00462E9A">
              <w:rPr>
                <w:rFonts w:ascii="Book Antiqua" w:hAnsi="Book Antiqua" w:cstheme="minorHAnsi"/>
                <w:i/>
                <w:iCs/>
              </w:rPr>
              <w:t>F</w:t>
            </w:r>
            <w:r w:rsidR="00167FCB" w:rsidRPr="00462E9A">
              <w:rPr>
                <w:rFonts w:ascii="Book Antiqua" w:hAnsi="Book Antiqua" w:cstheme="minorHAnsi"/>
                <w:i/>
                <w:iCs/>
              </w:rPr>
              <w:t>or</w:t>
            </w:r>
            <w:r w:rsidRPr="00462E9A">
              <w:rPr>
                <w:rFonts w:ascii="Book Antiqua" w:hAnsi="Book Antiqua" w:cstheme="minorHAnsi"/>
                <w:i/>
                <w:iCs/>
              </w:rPr>
              <w:t xml:space="preserve"> </w:t>
            </w:r>
            <w:r w:rsidR="001B1388" w:rsidRPr="001B1388">
              <w:rPr>
                <w:rFonts w:ascii="Book Antiqua" w:hAnsi="Book Antiqua" w:cstheme="minorHAnsi"/>
                <w:i/>
                <w:iCs/>
              </w:rPr>
              <w:t xml:space="preserve">NEASPEC </w:t>
            </w:r>
            <w:r w:rsidR="00167FCB" w:rsidRPr="001B1388">
              <w:rPr>
                <w:rFonts w:ascii="Book Antiqua" w:hAnsi="Book Antiqua" w:cstheme="minorHAnsi"/>
                <w:i/>
                <w:iCs/>
              </w:rPr>
              <w:t>secretariat</w:t>
            </w:r>
            <w:r w:rsidR="00167FCB">
              <w:rPr>
                <w:rFonts w:ascii="Book Antiqua" w:hAnsi="Book Antiqua" w:cstheme="minorHAnsi"/>
                <w:i/>
                <w:iCs/>
              </w:rPr>
              <w:t xml:space="preserve"> and</w:t>
            </w:r>
            <w:r w:rsidR="00167FCB" w:rsidRPr="001B1388">
              <w:rPr>
                <w:rFonts w:ascii="Book Antiqua" w:hAnsi="Book Antiqua" w:cstheme="minorHAnsi"/>
                <w:i/>
                <w:iCs/>
              </w:rPr>
              <w:t xml:space="preserve"> </w:t>
            </w:r>
            <w:r w:rsidRPr="00462E9A">
              <w:rPr>
                <w:rFonts w:ascii="Book Antiqua" w:hAnsi="Book Antiqua" w:cstheme="minorHAnsi"/>
                <w:i/>
                <w:iCs/>
              </w:rPr>
              <w:t>SOM</w:t>
            </w:r>
          </w:p>
        </w:tc>
        <w:tc>
          <w:tcPr>
            <w:tcW w:w="6804" w:type="dxa"/>
          </w:tcPr>
          <w:p w14:paraId="017B9D96" w14:textId="3B0B362D" w:rsidR="005528FB" w:rsidRPr="00462E9A" w:rsidRDefault="001B1388" w:rsidP="0077743F">
            <w:pPr>
              <w:tabs>
                <w:tab w:val="left" w:pos="2127"/>
              </w:tabs>
              <w:spacing w:after="120"/>
              <w:rPr>
                <w:rFonts w:ascii="Book Antiqua" w:hAnsi="Book Antiqua" w:cstheme="minorHAnsi"/>
                <w:i/>
                <w:iCs/>
              </w:rPr>
            </w:pPr>
            <w:r w:rsidRPr="001B1388">
              <w:rPr>
                <w:rFonts w:ascii="Book Antiqua" w:hAnsi="Book Antiqua" w:cstheme="minorHAnsi"/>
                <w:i/>
                <w:iCs/>
              </w:rPr>
              <w:t xml:space="preserve">Decide whether or not to move forward in </w:t>
            </w:r>
            <w:r w:rsidR="00167FCB" w:rsidRPr="001B1388">
              <w:rPr>
                <w:rFonts w:ascii="Book Antiqua" w:hAnsi="Book Antiqua" w:cstheme="minorHAnsi"/>
                <w:i/>
                <w:iCs/>
              </w:rPr>
              <w:t>operationalizing</w:t>
            </w:r>
            <w:r w:rsidRPr="001B1388">
              <w:rPr>
                <w:rFonts w:ascii="Book Antiqua" w:hAnsi="Book Antiqua" w:cstheme="minorHAnsi"/>
                <w:i/>
                <w:iCs/>
              </w:rPr>
              <w:t xml:space="preserve"> NEASPEC in a way that would enable the</w:t>
            </w:r>
            <w:r w:rsidR="00167FCB">
              <w:rPr>
                <w:rFonts w:ascii="Book Antiqua" w:hAnsi="Book Antiqua" w:cstheme="minorHAnsi"/>
                <w:i/>
                <w:iCs/>
              </w:rPr>
              <w:t xml:space="preserve"> full</w:t>
            </w:r>
            <w:r w:rsidRPr="001B1388">
              <w:rPr>
                <w:rFonts w:ascii="Book Antiqua" w:hAnsi="Book Antiqua" w:cstheme="minorHAnsi"/>
                <w:i/>
                <w:iCs/>
              </w:rPr>
              <w:t xml:space="preserve"> </w:t>
            </w:r>
            <w:r w:rsidR="00167FCB" w:rsidRPr="001B1388">
              <w:rPr>
                <w:rFonts w:ascii="Book Antiqua" w:hAnsi="Book Antiqua" w:cstheme="minorHAnsi"/>
                <w:i/>
                <w:iCs/>
              </w:rPr>
              <w:t>realization</w:t>
            </w:r>
            <w:r w:rsidRPr="001B1388">
              <w:rPr>
                <w:rFonts w:ascii="Book Antiqua" w:hAnsi="Book Antiqua" w:cstheme="minorHAnsi"/>
                <w:i/>
                <w:iCs/>
              </w:rPr>
              <w:t xml:space="preserve"> of its founding vision to be a comprehensive environmental cooperation mechanism.</w:t>
            </w:r>
          </w:p>
        </w:tc>
      </w:tr>
      <w:tr w:rsidR="005528FB" w:rsidRPr="00462E9A" w14:paraId="4F0C0BB4" w14:textId="77777777" w:rsidTr="005528FB">
        <w:tc>
          <w:tcPr>
            <w:tcW w:w="2552" w:type="dxa"/>
          </w:tcPr>
          <w:p w14:paraId="278CD45E" w14:textId="77777777" w:rsidR="005528FB" w:rsidRPr="00462E9A" w:rsidRDefault="005528FB" w:rsidP="0077743F">
            <w:pPr>
              <w:tabs>
                <w:tab w:val="left" w:pos="2127"/>
              </w:tabs>
              <w:spacing w:after="60"/>
              <w:ind w:right="176"/>
              <w:rPr>
                <w:rFonts w:ascii="Book Antiqua" w:hAnsi="Book Antiqua" w:cstheme="minorHAnsi"/>
                <w:i/>
                <w:iCs/>
              </w:rPr>
            </w:pPr>
            <w:r w:rsidRPr="00462E9A">
              <w:rPr>
                <w:rFonts w:ascii="Book Antiqua" w:hAnsi="Book Antiqua" w:cstheme="minorHAnsi"/>
                <w:i/>
                <w:iCs/>
              </w:rPr>
              <w:t>Recommendation 2:</w:t>
            </w:r>
          </w:p>
          <w:p w14:paraId="60BBD198" w14:textId="1E385AA6" w:rsidR="005528FB" w:rsidRPr="00462E9A" w:rsidRDefault="001B1388" w:rsidP="0077743F">
            <w:pPr>
              <w:tabs>
                <w:tab w:val="left" w:pos="2127"/>
              </w:tabs>
              <w:ind w:right="177"/>
              <w:rPr>
                <w:rFonts w:ascii="Book Antiqua" w:hAnsi="Book Antiqua" w:cstheme="minorHAnsi"/>
                <w:i/>
                <w:iCs/>
              </w:rPr>
            </w:pPr>
            <w:r w:rsidRPr="001B1388">
              <w:rPr>
                <w:rFonts w:ascii="Book Antiqua" w:hAnsi="Book Antiqua" w:cstheme="minorHAnsi"/>
                <w:i/>
                <w:iCs/>
              </w:rPr>
              <w:t>FOR NEASPEC SECRETARIAT and SOM</w:t>
            </w:r>
          </w:p>
        </w:tc>
        <w:tc>
          <w:tcPr>
            <w:tcW w:w="6804" w:type="dxa"/>
          </w:tcPr>
          <w:p w14:paraId="20649DF2" w14:textId="6F1F73DD" w:rsidR="005528FB" w:rsidRPr="00462E9A" w:rsidRDefault="001B1388" w:rsidP="0077743F">
            <w:pPr>
              <w:tabs>
                <w:tab w:val="left" w:pos="2127"/>
              </w:tabs>
              <w:spacing w:after="120"/>
              <w:rPr>
                <w:rFonts w:ascii="Book Antiqua" w:hAnsi="Book Antiqua" w:cstheme="minorHAnsi"/>
                <w:i/>
                <w:iCs/>
              </w:rPr>
            </w:pPr>
            <w:r w:rsidRPr="001B1388">
              <w:rPr>
                <w:rFonts w:ascii="Book Antiqua" w:hAnsi="Book Antiqua" w:cstheme="minorHAnsi"/>
                <w:i/>
                <w:iCs/>
                <w:lang w:val="en-NZ"/>
              </w:rPr>
              <w:t>Review the 1996 founding framework and update NEASPEC’s charter so that it is aligned with the ambition and intention of the involved member States, as informed by the 27 years of cooperation and coordination and in light of the accelerative effect of using a Strategic Plan. As part of this endeavour, it would be pertinent to set a long-term vision, mission, and goals – and make values and principles presently tacit more explicit.</w:t>
            </w:r>
          </w:p>
        </w:tc>
      </w:tr>
    </w:tbl>
    <w:p w14:paraId="53B439C1" w14:textId="2667D58D" w:rsidR="005528FB" w:rsidRDefault="005528FB" w:rsidP="005528FB">
      <w:pPr>
        <w:spacing w:after="120" w:line="340" w:lineRule="atLeast"/>
        <w:jc w:val="both"/>
        <w:rPr>
          <w:rStyle w:val="IntenseReference"/>
          <w:rFonts w:ascii="Book Antiqua" w:eastAsiaTheme="majorEastAsia" w:hAnsi="Book Antiqua" w:cstheme="majorBidi"/>
          <w:b w:val="0"/>
          <w:bCs w:val="0"/>
          <w:smallCaps w:val="0"/>
          <w:color w:val="auto"/>
          <w:spacing w:val="0"/>
        </w:rPr>
      </w:pPr>
    </w:p>
    <w:p w14:paraId="2B9D7931" w14:textId="1985C23B" w:rsidR="00F50388" w:rsidRDefault="000A6FC6" w:rsidP="00F50388">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sidRPr="00BE7610">
        <w:rPr>
          <w:rFonts w:ascii="Book Antiqua" w:eastAsiaTheme="majorEastAsia" w:hAnsi="Book Antiqua" w:cstheme="majorBidi"/>
        </w:rPr>
        <w:t xml:space="preserve">With regard to recommendations 1 and 2, </w:t>
      </w:r>
      <w:r w:rsidR="006945C4" w:rsidRPr="00BE7610">
        <w:rPr>
          <w:rFonts w:ascii="Book Antiqua" w:eastAsiaTheme="majorEastAsia" w:hAnsi="Book Antiqua" w:cstheme="majorBidi"/>
        </w:rPr>
        <w:t>fulfilling its mandate</w:t>
      </w:r>
      <w:r w:rsidR="002C25C1" w:rsidRPr="00BE7610">
        <w:rPr>
          <w:rFonts w:ascii="Book Antiqua" w:eastAsiaTheme="majorEastAsia" w:hAnsi="Book Antiqua" w:cstheme="majorBidi"/>
        </w:rPr>
        <w:t xml:space="preserve"> to serve as the </w:t>
      </w:r>
      <w:r w:rsidR="001A2106">
        <w:rPr>
          <w:rFonts w:ascii="Book Antiqua" w:eastAsiaTheme="majorEastAsia" w:hAnsi="Book Antiqua" w:cstheme="majorBidi"/>
        </w:rPr>
        <w:t xml:space="preserve">comprehensive </w:t>
      </w:r>
      <w:r w:rsidR="002C25C1" w:rsidRPr="00BE7610">
        <w:rPr>
          <w:rFonts w:ascii="Book Antiqua" w:eastAsiaTheme="majorEastAsia" w:hAnsi="Book Antiqua" w:cstheme="majorBidi"/>
        </w:rPr>
        <w:t xml:space="preserve">intergovernmental cooperation </w:t>
      </w:r>
      <w:r w:rsidR="001A2106">
        <w:rPr>
          <w:rFonts w:ascii="Book Antiqua" w:eastAsiaTheme="majorEastAsia" w:hAnsi="Book Antiqua" w:cstheme="majorBidi"/>
        </w:rPr>
        <w:t>mechanism</w:t>
      </w:r>
      <w:r w:rsidR="002C25C1" w:rsidRPr="00BE7610">
        <w:rPr>
          <w:rFonts w:ascii="Book Antiqua" w:eastAsiaTheme="majorEastAsia" w:hAnsi="Book Antiqua" w:cstheme="majorBidi"/>
        </w:rPr>
        <w:t xml:space="preserve"> to address environmental issues in the subregion is </w:t>
      </w:r>
      <w:r w:rsidR="0032030F">
        <w:rPr>
          <w:rFonts w:ascii="Book Antiqua" w:eastAsiaTheme="majorEastAsia" w:hAnsi="Book Antiqua" w:cstheme="majorBidi"/>
        </w:rPr>
        <w:t xml:space="preserve">further </w:t>
      </w:r>
      <w:r w:rsidR="005528FB" w:rsidRPr="00BE7610">
        <w:rPr>
          <w:rFonts w:ascii="Book Antiqua" w:eastAsiaTheme="majorEastAsia" w:hAnsi="Book Antiqua" w:cstheme="majorBidi"/>
        </w:rPr>
        <w:t xml:space="preserve">articulated in the new </w:t>
      </w:r>
      <w:r w:rsidR="002A3724">
        <w:rPr>
          <w:rFonts w:ascii="Book Antiqua" w:eastAsiaTheme="majorEastAsia" w:hAnsi="Book Antiqua" w:cstheme="majorBidi"/>
        </w:rPr>
        <w:t>S</w:t>
      </w:r>
      <w:r w:rsidR="005528FB" w:rsidRPr="00BE7610">
        <w:rPr>
          <w:rFonts w:ascii="Book Antiqua" w:eastAsiaTheme="majorEastAsia" w:hAnsi="Book Antiqua" w:cstheme="majorBidi"/>
        </w:rPr>
        <w:t xml:space="preserve">trategic </w:t>
      </w:r>
      <w:r w:rsidR="002A3724">
        <w:rPr>
          <w:rFonts w:ascii="Book Antiqua" w:eastAsiaTheme="majorEastAsia" w:hAnsi="Book Antiqua" w:cstheme="majorBidi"/>
        </w:rPr>
        <w:t>P</w:t>
      </w:r>
      <w:r w:rsidR="005528FB" w:rsidRPr="00BE7610">
        <w:rPr>
          <w:rFonts w:ascii="Book Antiqua" w:eastAsiaTheme="majorEastAsia" w:hAnsi="Book Antiqua" w:cstheme="majorBidi"/>
        </w:rPr>
        <w:t>lan 2021-2025</w:t>
      </w:r>
      <w:r w:rsidR="0032030F">
        <w:rPr>
          <w:rFonts w:ascii="Book Antiqua" w:eastAsiaTheme="majorEastAsia" w:hAnsi="Book Antiqua" w:cstheme="majorBidi"/>
        </w:rPr>
        <w:t xml:space="preserve">. The NEASPEC Framework sets the objective to </w:t>
      </w:r>
      <w:r w:rsidR="0032030F" w:rsidRPr="00572521">
        <w:rPr>
          <w:rFonts w:ascii="Book Antiqua" w:eastAsiaTheme="majorEastAsia" w:hAnsi="Book Antiqua" w:cstheme="majorBidi"/>
        </w:rPr>
        <w:t xml:space="preserve">enhance capacities of the </w:t>
      </w:r>
      <w:r w:rsidR="0032030F">
        <w:rPr>
          <w:rFonts w:ascii="Book Antiqua" w:eastAsiaTheme="majorEastAsia" w:hAnsi="Book Antiqua" w:cstheme="majorBidi"/>
        </w:rPr>
        <w:t xml:space="preserve">member States </w:t>
      </w:r>
      <w:r w:rsidR="0032030F" w:rsidRPr="00572521">
        <w:rPr>
          <w:rFonts w:ascii="Book Antiqua" w:eastAsiaTheme="majorEastAsia" w:hAnsi="Book Antiqua" w:cstheme="majorBidi"/>
        </w:rPr>
        <w:t xml:space="preserve">in environmental management efforts through subregional </w:t>
      </w:r>
      <w:r w:rsidR="00572521" w:rsidRPr="00572521">
        <w:rPr>
          <w:rFonts w:ascii="Book Antiqua" w:eastAsiaTheme="majorEastAsia" w:hAnsi="Book Antiqua" w:cstheme="majorBidi"/>
        </w:rPr>
        <w:t>cooperation</w:t>
      </w:r>
      <w:r w:rsidR="00572521">
        <w:rPr>
          <w:rFonts w:ascii="Book Antiqua" w:eastAsiaTheme="majorEastAsia" w:hAnsi="Book Antiqua" w:cstheme="majorBidi"/>
        </w:rPr>
        <w:t xml:space="preserve"> and</w:t>
      </w:r>
      <w:r w:rsidR="0032030F">
        <w:rPr>
          <w:rFonts w:ascii="Book Antiqua" w:eastAsiaTheme="majorEastAsia" w:hAnsi="Book Antiqua" w:cstheme="majorBidi"/>
        </w:rPr>
        <w:t xml:space="preserve"> </w:t>
      </w:r>
      <w:r w:rsidR="0032030F" w:rsidRPr="00572521">
        <w:rPr>
          <w:rFonts w:ascii="Book Antiqua" w:eastAsiaTheme="majorEastAsia" w:hAnsi="Book Antiqua" w:cstheme="majorBidi"/>
        </w:rPr>
        <w:t>facilitate effective participation of national institutions</w:t>
      </w:r>
      <w:r w:rsidR="0032030F">
        <w:rPr>
          <w:rFonts w:ascii="Book Antiqua" w:eastAsiaTheme="majorEastAsia" w:hAnsi="Book Antiqua" w:cstheme="majorBidi"/>
        </w:rPr>
        <w:t>. The Vision Statement in 2020 recommends to p</w:t>
      </w:r>
      <w:r w:rsidR="0032030F" w:rsidRPr="00F512D4">
        <w:rPr>
          <w:rFonts w:ascii="Book Antiqua" w:hAnsi="Book Antiqua" w:cs="SimSun"/>
          <w:sz w:val="24"/>
          <w:szCs w:val="24"/>
          <w:lang w:bidi="th-TH"/>
        </w:rPr>
        <w:t>eriodically review the environmental conditions and trends as well as the implementation of priority projects with a view to identifying additional priority areas for cooperation;</w:t>
      </w:r>
      <w:r w:rsidR="0032030F">
        <w:rPr>
          <w:rFonts w:ascii="Book Antiqua" w:hAnsi="Book Antiqua" w:cs="SimSun"/>
          <w:sz w:val="24"/>
          <w:szCs w:val="24"/>
          <w:lang w:bidi="th-TH"/>
        </w:rPr>
        <w:t xml:space="preserve"> and p</w:t>
      </w:r>
      <w:r w:rsidR="0032030F" w:rsidRPr="00F512D4">
        <w:rPr>
          <w:rFonts w:ascii="Book Antiqua" w:hAnsi="Book Antiqua" w:cs="SimSun"/>
          <w:sz w:val="24"/>
          <w:szCs w:val="24"/>
          <w:lang w:bidi="th-TH"/>
        </w:rPr>
        <w:t>romote common policy dialogue on approaches and views and coordinated actions on subregional environmental issues</w:t>
      </w:r>
      <w:r w:rsidR="0032030F">
        <w:rPr>
          <w:rFonts w:ascii="Book Antiqua" w:hAnsi="Book Antiqua" w:cs="SimSun"/>
          <w:sz w:val="24"/>
          <w:szCs w:val="24"/>
          <w:lang w:bidi="th-TH"/>
        </w:rPr>
        <w:t xml:space="preserve">. </w:t>
      </w:r>
      <w:r w:rsidR="002A3724">
        <w:rPr>
          <w:rFonts w:ascii="Book Antiqua" w:eastAsiaTheme="majorEastAsia" w:hAnsi="Book Antiqua" w:cstheme="majorBidi"/>
        </w:rPr>
        <w:t xml:space="preserve"> </w:t>
      </w:r>
      <w:r w:rsidR="0032030F">
        <w:rPr>
          <w:rFonts w:ascii="Book Antiqua" w:eastAsiaTheme="majorEastAsia" w:hAnsi="Book Antiqua" w:cstheme="majorBidi"/>
        </w:rPr>
        <w:t>Proposed activities in most programmatic areas of the Strategic Plan 2021-2025 contain the plan for capacity building and technical support through subregional cooperation</w:t>
      </w:r>
      <w:r w:rsidR="00EC0A69">
        <w:rPr>
          <w:rFonts w:ascii="Book Antiqua" w:eastAsiaTheme="majorEastAsia" w:hAnsi="Book Antiqua" w:cstheme="majorBidi"/>
        </w:rPr>
        <w:t>.</w:t>
      </w:r>
      <w:r w:rsidR="008F1A12">
        <w:rPr>
          <w:rFonts w:ascii="Book Antiqua" w:eastAsiaTheme="majorEastAsia" w:hAnsi="Book Antiqua" w:cstheme="majorBidi"/>
        </w:rPr>
        <w:t xml:space="preserve"> The Plan also suggests </w:t>
      </w:r>
      <w:r w:rsidR="0032030F">
        <w:rPr>
          <w:rFonts w:ascii="Book Antiqua" w:eastAsiaTheme="majorEastAsia" w:hAnsi="Book Antiqua" w:cstheme="majorBidi"/>
        </w:rPr>
        <w:t xml:space="preserve">institutionalizing the cooperation platform in each </w:t>
      </w:r>
      <w:r w:rsidR="008F1A12">
        <w:rPr>
          <w:rFonts w:ascii="Book Antiqua" w:eastAsiaTheme="majorEastAsia" w:hAnsi="Book Antiqua" w:cstheme="majorBidi"/>
        </w:rPr>
        <w:t xml:space="preserve">programmatic area, sharing knowledge and information, enhancing wider participation of stakeholders including national institutions, and linking with regional and global goals.  In addition, the Plan provides the opportunity for member States to hold dialogue on new and emerging issues and develop joint actions. </w:t>
      </w:r>
      <w:r w:rsidR="005528FB" w:rsidRPr="00BE7610">
        <w:rPr>
          <w:rFonts w:ascii="Book Antiqua" w:eastAsiaTheme="majorEastAsia" w:hAnsi="Book Antiqua" w:cstheme="majorBidi"/>
        </w:rPr>
        <w:t xml:space="preserve"> </w:t>
      </w:r>
      <w:r w:rsidR="008F1A12">
        <w:rPr>
          <w:rFonts w:ascii="Book Antiqua" w:eastAsiaTheme="majorEastAsia" w:hAnsi="Book Antiqua" w:cstheme="majorBidi"/>
        </w:rPr>
        <w:t>Thus, t</w:t>
      </w:r>
      <w:r w:rsidR="005528FB" w:rsidRPr="00BE7610">
        <w:rPr>
          <w:rFonts w:ascii="Book Antiqua" w:eastAsiaTheme="majorEastAsia" w:hAnsi="Book Antiqua" w:cstheme="majorBidi"/>
        </w:rPr>
        <w:t xml:space="preserve">he new </w:t>
      </w:r>
      <w:r w:rsidR="008F3D75">
        <w:rPr>
          <w:rFonts w:ascii="Book Antiqua" w:eastAsiaTheme="majorEastAsia" w:hAnsi="Book Antiqua" w:cstheme="majorBidi"/>
        </w:rPr>
        <w:t>S</w:t>
      </w:r>
      <w:r w:rsidR="005528FB" w:rsidRPr="00BE7610">
        <w:rPr>
          <w:rFonts w:ascii="Book Antiqua" w:eastAsiaTheme="majorEastAsia" w:hAnsi="Book Antiqua" w:cstheme="majorBidi"/>
        </w:rPr>
        <w:t xml:space="preserve">trategic </w:t>
      </w:r>
      <w:r w:rsidR="008F3D75">
        <w:rPr>
          <w:rFonts w:ascii="Book Antiqua" w:eastAsiaTheme="majorEastAsia" w:hAnsi="Book Antiqua" w:cstheme="majorBidi"/>
        </w:rPr>
        <w:t>P</w:t>
      </w:r>
      <w:r w:rsidR="005528FB" w:rsidRPr="00BE7610">
        <w:rPr>
          <w:rFonts w:ascii="Book Antiqua" w:eastAsiaTheme="majorEastAsia" w:hAnsi="Book Antiqua" w:cstheme="majorBidi"/>
        </w:rPr>
        <w:t>lan 2021-2025 will guide and provide a roadmap for NEASPEC</w:t>
      </w:r>
      <w:r w:rsidR="00D0115A">
        <w:rPr>
          <w:rFonts w:ascii="Book Antiqua" w:eastAsiaTheme="majorEastAsia" w:hAnsi="Book Antiqua" w:cstheme="majorBidi"/>
        </w:rPr>
        <w:t>’s</w:t>
      </w:r>
      <w:r w:rsidR="005528FB" w:rsidRPr="00BE7610">
        <w:rPr>
          <w:rFonts w:ascii="Book Antiqua" w:eastAsiaTheme="majorEastAsia" w:hAnsi="Book Antiqua" w:cstheme="majorBidi"/>
        </w:rPr>
        <w:t xml:space="preserve"> future work.</w:t>
      </w:r>
      <w:r w:rsidR="00BE7610" w:rsidRPr="00BE7610">
        <w:rPr>
          <w:rFonts w:ascii="Book Antiqua" w:eastAsiaTheme="majorEastAsia" w:hAnsi="Book Antiqua" w:cstheme="majorBidi"/>
        </w:rPr>
        <w:t xml:space="preserve"> </w:t>
      </w:r>
      <w:r w:rsidR="00E8545A">
        <w:rPr>
          <w:rFonts w:ascii="Book Antiqua" w:eastAsiaTheme="majorEastAsia" w:hAnsi="Book Antiqua" w:cstheme="majorBidi"/>
        </w:rPr>
        <w:t>T</w:t>
      </w:r>
      <w:r w:rsidR="00E8545A" w:rsidRPr="00E8545A">
        <w:rPr>
          <w:rFonts w:ascii="Book Antiqua" w:eastAsiaTheme="majorEastAsia" w:hAnsi="Book Antiqua" w:cstheme="majorBidi"/>
        </w:rPr>
        <w:t xml:space="preserve">he process of the current and new Strategic Plan also reflects the step-by-step and approach envisioned by the Framework.  </w:t>
      </w:r>
      <w:r w:rsidR="002A3724" w:rsidRPr="008F3D75">
        <w:rPr>
          <w:rFonts w:ascii="Book Antiqua" w:eastAsiaTheme="majorEastAsia" w:hAnsi="Book Antiqua" w:cstheme="majorBidi"/>
        </w:rPr>
        <w:lastRenderedPageBreak/>
        <w:t xml:space="preserve">Meanwhile, the Secretariat </w:t>
      </w:r>
      <w:r w:rsidR="001A2106">
        <w:rPr>
          <w:rFonts w:ascii="Book Antiqua" w:eastAsiaTheme="majorEastAsia" w:hAnsi="Book Antiqua" w:cstheme="majorBidi"/>
        </w:rPr>
        <w:t>encourage</w:t>
      </w:r>
      <w:r w:rsidR="008F1A12">
        <w:rPr>
          <w:rFonts w:ascii="Book Antiqua" w:eastAsiaTheme="majorEastAsia" w:hAnsi="Book Antiqua" w:cstheme="majorBidi"/>
        </w:rPr>
        <w:t>s</w:t>
      </w:r>
      <w:r w:rsidR="001A2106">
        <w:rPr>
          <w:rFonts w:ascii="Book Antiqua" w:eastAsiaTheme="majorEastAsia" w:hAnsi="Book Antiqua" w:cstheme="majorBidi"/>
        </w:rPr>
        <w:t xml:space="preserve"> </w:t>
      </w:r>
      <w:r w:rsidR="002A3724" w:rsidRPr="008F3D75">
        <w:rPr>
          <w:rFonts w:ascii="Book Antiqua" w:eastAsiaTheme="majorEastAsia" w:hAnsi="Book Antiqua" w:cstheme="majorBidi"/>
        </w:rPr>
        <w:t xml:space="preserve">member States to revisit the Framework of NEASPEC adopted in 1996 </w:t>
      </w:r>
      <w:r w:rsidR="00280E9F">
        <w:rPr>
          <w:rFonts w:ascii="Book Antiqua" w:eastAsiaTheme="majorEastAsia" w:hAnsi="Book Antiqua" w:cstheme="majorBidi"/>
        </w:rPr>
        <w:t xml:space="preserve">and Vision Statement adopted in 2000 with a view of </w:t>
      </w:r>
      <w:r w:rsidR="002A3724" w:rsidRPr="008F3D75">
        <w:rPr>
          <w:rFonts w:ascii="Book Antiqua" w:eastAsiaTheme="majorEastAsia" w:hAnsi="Book Antiqua" w:cstheme="majorBidi"/>
        </w:rPr>
        <w:t>reflect</w:t>
      </w:r>
      <w:r w:rsidR="00280E9F">
        <w:rPr>
          <w:rFonts w:ascii="Book Antiqua" w:eastAsiaTheme="majorEastAsia" w:hAnsi="Book Antiqua" w:cstheme="majorBidi"/>
        </w:rPr>
        <w:t>ing</w:t>
      </w:r>
      <w:r w:rsidR="002A3724" w:rsidRPr="008F3D75">
        <w:rPr>
          <w:rFonts w:ascii="Book Antiqua" w:eastAsiaTheme="majorEastAsia" w:hAnsi="Book Antiqua" w:cstheme="majorBidi"/>
        </w:rPr>
        <w:t xml:space="preserve"> the latest development and long-term perspectives of NEASPEC</w:t>
      </w:r>
      <w:r w:rsidR="00280E9F">
        <w:rPr>
          <w:rFonts w:ascii="Book Antiqua" w:eastAsiaTheme="majorEastAsia" w:hAnsi="Book Antiqua" w:cstheme="majorBidi"/>
        </w:rPr>
        <w:t>, and thus</w:t>
      </w:r>
      <w:r w:rsidR="00E8545A">
        <w:rPr>
          <w:rFonts w:ascii="Book Antiqua" w:eastAsiaTheme="majorEastAsia" w:hAnsi="Book Antiqua" w:cstheme="majorBidi"/>
        </w:rPr>
        <w:t xml:space="preserve"> the SOM-24</w:t>
      </w:r>
      <w:r w:rsidR="00280E9F">
        <w:rPr>
          <w:rFonts w:ascii="Book Antiqua" w:eastAsiaTheme="majorEastAsia" w:hAnsi="Book Antiqua" w:cstheme="majorBidi"/>
        </w:rPr>
        <w:t xml:space="preserve"> to </w:t>
      </w:r>
      <w:r w:rsidR="00E8545A">
        <w:rPr>
          <w:rFonts w:ascii="Book Antiqua" w:eastAsiaTheme="majorEastAsia" w:hAnsi="Book Antiqua" w:cstheme="majorBidi"/>
        </w:rPr>
        <w:t>discuss the need and modality of revisiting the Framework.</w:t>
      </w:r>
    </w:p>
    <w:p w14:paraId="3B790309" w14:textId="77777777" w:rsidR="002D19EF" w:rsidRPr="002D19EF" w:rsidRDefault="002D19EF" w:rsidP="002D19EF">
      <w:pPr>
        <w:pStyle w:val="ListParagraph"/>
        <w:spacing w:after="120" w:line="340" w:lineRule="atLeast"/>
        <w:ind w:left="0"/>
        <w:contextualSpacing w:val="0"/>
        <w:jc w:val="both"/>
        <w:rPr>
          <w:rStyle w:val="IntenseReference"/>
          <w:rFonts w:ascii="Book Antiqua" w:eastAsiaTheme="majorEastAsia" w:hAnsi="Book Antiqua" w:cstheme="majorBidi"/>
          <w:b w:val="0"/>
          <w:bCs w:val="0"/>
          <w:smallCaps w:val="0"/>
          <w:color w:val="auto"/>
          <w:spacing w:val="0"/>
        </w:rPr>
      </w:pPr>
    </w:p>
    <w:tbl>
      <w:tblPr>
        <w:tblStyle w:val="TableGrid"/>
        <w:tblW w:w="9356" w:type="dxa"/>
        <w:tblInd w:w="-5" w:type="dxa"/>
        <w:tblLook w:val="04A0" w:firstRow="1" w:lastRow="0" w:firstColumn="1" w:lastColumn="0" w:noHBand="0" w:noVBand="1"/>
      </w:tblPr>
      <w:tblGrid>
        <w:gridCol w:w="2552"/>
        <w:gridCol w:w="6804"/>
      </w:tblGrid>
      <w:tr w:rsidR="005528FB" w:rsidRPr="00462E9A" w14:paraId="2127814B" w14:textId="77777777" w:rsidTr="0077743F">
        <w:tc>
          <w:tcPr>
            <w:tcW w:w="2552" w:type="dxa"/>
          </w:tcPr>
          <w:p w14:paraId="2181A956" w14:textId="77777777" w:rsidR="005528FB" w:rsidRPr="00462E9A" w:rsidRDefault="005528FB" w:rsidP="0077743F">
            <w:pPr>
              <w:tabs>
                <w:tab w:val="left" w:pos="2127"/>
              </w:tabs>
              <w:spacing w:after="60"/>
              <w:ind w:right="176"/>
              <w:rPr>
                <w:rFonts w:ascii="Book Antiqua" w:hAnsi="Book Antiqua" w:cstheme="minorHAnsi"/>
                <w:i/>
                <w:iCs/>
              </w:rPr>
            </w:pPr>
            <w:r w:rsidRPr="00462E9A">
              <w:rPr>
                <w:rFonts w:ascii="Book Antiqua" w:hAnsi="Book Antiqua" w:cstheme="minorHAnsi"/>
                <w:i/>
                <w:iCs/>
              </w:rPr>
              <w:t>Recommendation 3:</w:t>
            </w:r>
          </w:p>
          <w:p w14:paraId="064A1100" w14:textId="57B89A34" w:rsidR="005528FB" w:rsidRPr="00462E9A" w:rsidRDefault="005528FB" w:rsidP="0077743F">
            <w:pPr>
              <w:tabs>
                <w:tab w:val="left" w:pos="2127"/>
              </w:tabs>
              <w:ind w:right="177"/>
              <w:rPr>
                <w:rFonts w:ascii="Book Antiqua" w:hAnsi="Book Antiqua" w:cstheme="minorHAnsi"/>
                <w:i/>
                <w:iCs/>
              </w:rPr>
            </w:pPr>
            <w:r w:rsidRPr="00462E9A">
              <w:rPr>
                <w:rFonts w:ascii="Book Antiqua" w:hAnsi="Book Antiqua" w:cstheme="minorHAnsi"/>
                <w:i/>
                <w:iCs/>
              </w:rPr>
              <w:t>F</w:t>
            </w:r>
            <w:r w:rsidR="002A3724">
              <w:rPr>
                <w:rFonts w:ascii="Book Antiqua" w:hAnsi="Book Antiqua" w:cstheme="minorHAnsi"/>
                <w:i/>
                <w:iCs/>
              </w:rPr>
              <w:t>o</w:t>
            </w:r>
            <w:r w:rsidR="002A3724">
              <w:rPr>
                <w:rFonts w:cstheme="minorHAnsi"/>
                <w:i/>
                <w:iCs/>
              </w:rPr>
              <w:t xml:space="preserve">r </w:t>
            </w:r>
            <w:r w:rsidRPr="00462E9A">
              <w:rPr>
                <w:rFonts w:ascii="Book Antiqua" w:hAnsi="Book Antiqua" w:cstheme="minorHAnsi"/>
                <w:i/>
                <w:iCs/>
              </w:rPr>
              <w:t>SOM and NFPs</w:t>
            </w:r>
          </w:p>
        </w:tc>
        <w:tc>
          <w:tcPr>
            <w:tcW w:w="6804" w:type="dxa"/>
          </w:tcPr>
          <w:p w14:paraId="627AEEC9" w14:textId="3132CBD1" w:rsidR="005528FB" w:rsidRPr="00462E9A" w:rsidRDefault="001B1388" w:rsidP="0077743F">
            <w:pPr>
              <w:tabs>
                <w:tab w:val="left" w:pos="2127"/>
              </w:tabs>
              <w:spacing w:after="120"/>
              <w:rPr>
                <w:rFonts w:ascii="Book Antiqua" w:hAnsi="Book Antiqua" w:cstheme="minorHAnsi"/>
                <w:i/>
                <w:iCs/>
              </w:rPr>
            </w:pPr>
            <w:proofErr w:type="spellStart"/>
            <w:r w:rsidRPr="001B1388">
              <w:rPr>
                <w:rFonts w:ascii="Book Antiqua" w:hAnsi="Book Antiqua" w:cstheme="minorHAnsi"/>
                <w:i/>
                <w:iCs/>
              </w:rPr>
              <w:t>Honour</w:t>
            </w:r>
            <w:proofErr w:type="spellEnd"/>
            <w:r w:rsidRPr="001B1388">
              <w:rPr>
                <w:rFonts w:ascii="Book Antiqua" w:hAnsi="Book Antiqua" w:cstheme="minorHAnsi"/>
                <w:i/>
                <w:iCs/>
              </w:rPr>
              <w:t xml:space="preserve"> the notion of high-level participation in SOM, as per the founding vision and provide for significantly more stability of designated NFPs.</w:t>
            </w:r>
          </w:p>
        </w:tc>
      </w:tr>
    </w:tbl>
    <w:p w14:paraId="0EEB16D4" w14:textId="6ECC4BDB" w:rsidR="005528FB" w:rsidRDefault="005528FB" w:rsidP="005528FB">
      <w:pPr>
        <w:pStyle w:val="ListParagraph"/>
        <w:spacing w:after="120" w:line="340" w:lineRule="atLeast"/>
        <w:ind w:left="0"/>
        <w:contextualSpacing w:val="0"/>
        <w:jc w:val="both"/>
        <w:rPr>
          <w:rStyle w:val="IntenseReference"/>
          <w:rFonts w:ascii="Book Antiqua" w:eastAsiaTheme="majorEastAsia" w:hAnsi="Book Antiqua" w:cstheme="majorBidi"/>
          <w:b w:val="0"/>
          <w:bCs w:val="0"/>
          <w:smallCaps w:val="0"/>
          <w:color w:val="auto"/>
          <w:spacing w:val="0"/>
        </w:rPr>
      </w:pPr>
    </w:p>
    <w:p w14:paraId="633FAA5D" w14:textId="3251E089" w:rsidR="00156C15" w:rsidRDefault="00F50388" w:rsidP="002D19EF">
      <w:pPr>
        <w:pStyle w:val="ListParagraph"/>
        <w:numPr>
          <w:ilvl w:val="0"/>
          <w:numId w:val="3"/>
        </w:numPr>
        <w:spacing w:after="120" w:line="340" w:lineRule="atLeast"/>
        <w:ind w:left="0" w:firstLine="0"/>
        <w:contextualSpacing w:val="0"/>
        <w:jc w:val="both"/>
        <w:rPr>
          <w:rStyle w:val="IntenseReference"/>
          <w:rFonts w:ascii="Book Antiqua" w:eastAsiaTheme="majorEastAsia" w:hAnsi="Book Antiqua" w:cstheme="majorBidi"/>
          <w:b w:val="0"/>
          <w:bCs w:val="0"/>
          <w:smallCaps w:val="0"/>
          <w:color w:val="auto"/>
          <w:spacing w:val="0"/>
        </w:rPr>
      </w:pPr>
      <w:r w:rsidRPr="00FD5424">
        <w:rPr>
          <w:rStyle w:val="IntenseReference"/>
          <w:rFonts w:ascii="Book Antiqua" w:eastAsiaTheme="majorEastAsia" w:hAnsi="Book Antiqua" w:cstheme="majorBidi"/>
          <w:b w:val="0"/>
          <w:bCs w:val="0"/>
          <w:smallCaps w:val="0"/>
          <w:color w:val="auto"/>
          <w:spacing w:val="0"/>
        </w:rPr>
        <w:t xml:space="preserve">With regard to recommendation 3, </w:t>
      </w:r>
      <w:r w:rsidR="002A3724" w:rsidRPr="00FD5424">
        <w:rPr>
          <w:rStyle w:val="IntenseReference"/>
          <w:rFonts w:ascii="Book Antiqua" w:eastAsiaTheme="majorEastAsia" w:hAnsi="Book Antiqua" w:cstheme="majorBidi"/>
          <w:b w:val="0"/>
          <w:bCs w:val="0"/>
          <w:smallCaps w:val="0"/>
          <w:color w:val="auto"/>
          <w:spacing w:val="0"/>
        </w:rPr>
        <w:t xml:space="preserve">the Secretariat </w:t>
      </w:r>
      <w:r w:rsidRPr="00FD5424">
        <w:rPr>
          <w:rStyle w:val="IntenseReference"/>
          <w:rFonts w:ascii="Book Antiqua" w:eastAsiaTheme="majorEastAsia" w:hAnsi="Book Antiqua" w:cstheme="majorBidi"/>
          <w:b w:val="0"/>
          <w:bCs w:val="0"/>
          <w:smallCaps w:val="0"/>
          <w:color w:val="auto"/>
          <w:spacing w:val="0"/>
        </w:rPr>
        <w:t xml:space="preserve">fully </w:t>
      </w:r>
      <w:r w:rsidR="006C2E81" w:rsidRPr="00FD5424">
        <w:rPr>
          <w:rStyle w:val="IntenseReference"/>
          <w:rFonts w:ascii="Book Antiqua" w:eastAsiaTheme="majorEastAsia" w:hAnsi="Book Antiqua" w:cstheme="majorBidi"/>
          <w:b w:val="0"/>
          <w:bCs w:val="0"/>
          <w:smallCaps w:val="0"/>
          <w:color w:val="auto"/>
          <w:spacing w:val="0"/>
        </w:rPr>
        <w:t>recognizes the need to further improve the effectiveness of the SOM as the governing body of NEASPEC with the proper level of representations from member States</w:t>
      </w:r>
      <w:r w:rsidR="00D7475F" w:rsidRPr="00FD5424">
        <w:rPr>
          <w:rStyle w:val="IntenseReference"/>
          <w:rFonts w:ascii="Book Antiqua" w:eastAsiaTheme="majorEastAsia" w:hAnsi="Book Antiqua" w:cstheme="majorBidi"/>
          <w:b w:val="0"/>
          <w:bCs w:val="0"/>
          <w:smallCaps w:val="0"/>
          <w:color w:val="auto"/>
          <w:spacing w:val="0"/>
        </w:rPr>
        <w:t xml:space="preserve">. </w:t>
      </w:r>
      <w:r w:rsidR="00DE606A" w:rsidRPr="00FD5424">
        <w:rPr>
          <w:rStyle w:val="IntenseReference"/>
          <w:rFonts w:ascii="Book Antiqua" w:eastAsiaTheme="majorEastAsia" w:hAnsi="Book Antiqua" w:cstheme="majorBidi"/>
          <w:b w:val="0"/>
          <w:bCs w:val="0"/>
          <w:smallCaps w:val="0"/>
          <w:color w:val="auto"/>
          <w:spacing w:val="0"/>
        </w:rPr>
        <w:t>The</w:t>
      </w:r>
      <w:r w:rsidR="00D7475F" w:rsidRPr="00FD5424">
        <w:rPr>
          <w:rStyle w:val="IntenseReference"/>
          <w:rFonts w:ascii="Book Antiqua" w:eastAsiaTheme="majorEastAsia" w:hAnsi="Book Antiqua" w:cstheme="majorBidi"/>
          <w:b w:val="0"/>
          <w:bCs w:val="0"/>
          <w:smallCaps w:val="0"/>
          <w:color w:val="auto"/>
          <w:spacing w:val="0"/>
        </w:rPr>
        <w:t xml:space="preserve"> levels of representations to SOM</w:t>
      </w:r>
      <w:r w:rsidR="00DE606A" w:rsidRPr="00FD5424">
        <w:rPr>
          <w:rStyle w:val="IntenseReference"/>
          <w:rFonts w:ascii="Book Antiqua" w:eastAsiaTheme="majorEastAsia" w:hAnsi="Book Antiqua" w:cstheme="majorBidi"/>
          <w:b w:val="0"/>
          <w:bCs w:val="0"/>
          <w:smallCaps w:val="0"/>
          <w:color w:val="auto"/>
          <w:spacing w:val="0"/>
        </w:rPr>
        <w:t xml:space="preserve"> are different among the member States. However</w:t>
      </w:r>
      <w:r w:rsidR="00D7475F" w:rsidRPr="00FD5424">
        <w:rPr>
          <w:rStyle w:val="IntenseReference"/>
          <w:rFonts w:ascii="Book Antiqua" w:eastAsiaTheme="majorEastAsia" w:hAnsi="Book Antiqua" w:cstheme="majorBidi"/>
          <w:b w:val="0"/>
          <w:bCs w:val="0"/>
          <w:smallCaps w:val="0"/>
          <w:color w:val="auto"/>
          <w:spacing w:val="0"/>
        </w:rPr>
        <w:t>, the comprehensive membership and programmatic areas</w:t>
      </w:r>
      <w:r w:rsidR="00DE606A" w:rsidRPr="00FD5424">
        <w:rPr>
          <w:rStyle w:val="IntenseReference"/>
          <w:rFonts w:ascii="Book Antiqua" w:eastAsiaTheme="majorEastAsia" w:hAnsi="Book Antiqua" w:cstheme="majorBidi"/>
          <w:b w:val="0"/>
          <w:bCs w:val="0"/>
          <w:smallCaps w:val="0"/>
          <w:color w:val="auto"/>
          <w:spacing w:val="0"/>
        </w:rPr>
        <w:t xml:space="preserve"> of NEASPEC</w:t>
      </w:r>
      <w:r w:rsidR="00D7475F" w:rsidRPr="00FD5424">
        <w:rPr>
          <w:rStyle w:val="IntenseReference"/>
          <w:rFonts w:ascii="Book Antiqua" w:eastAsiaTheme="majorEastAsia" w:hAnsi="Book Antiqua" w:cstheme="majorBidi"/>
          <w:b w:val="0"/>
          <w:bCs w:val="0"/>
          <w:smallCaps w:val="0"/>
          <w:color w:val="auto"/>
          <w:spacing w:val="0"/>
        </w:rPr>
        <w:t xml:space="preserve"> place SOM as a major subregional platform that reviews diverse ongoing processes in most priority areas of subregional </w:t>
      </w:r>
      <w:r w:rsidR="00FF057D" w:rsidRPr="00FD5424">
        <w:rPr>
          <w:rStyle w:val="IntenseReference"/>
          <w:rFonts w:ascii="Book Antiqua" w:eastAsiaTheme="majorEastAsia" w:hAnsi="Book Antiqua" w:cstheme="majorBidi"/>
          <w:b w:val="0"/>
          <w:bCs w:val="0"/>
          <w:smallCaps w:val="0"/>
          <w:color w:val="auto"/>
          <w:spacing w:val="0"/>
        </w:rPr>
        <w:t xml:space="preserve">environmental </w:t>
      </w:r>
      <w:r w:rsidR="00D7475F" w:rsidRPr="00FD5424">
        <w:rPr>
          <w:rStyle w:val="IntenseReference"/>
          <w:rFonts w:ascii="Book Antiqua" w:eastAsiaTheme="majorEastAsia" w:hAnsi="Book Antiqua" w:cstheme="majorBidi"/>
          <w:b w:val="0"/>
          <w:bCs w:val="0"/>
          <w:smallCaps w:val="0"/>
          <w:color w:val="auto"/>
          <w:spacing w:val="0"/>
        </w:rPr>
        <w:t>cooperation. Thus, higher level of representations as well as the inclusion of more stakeholders into the national delegation could further</w:t>
      </w:r>
      <w:r w:rsidR="00994E1C" w:rsidRPr="00FD5424">
        <w:rPr>
          <w:rStyle w:val="IntenseReference"/>
          <w:rFonts w:ascii="Book Antiqua" w:eastAsiaTheme="majorEastAsia" w:hAnsi="Book Antiqua" w:cstheme="majorBidi"/>
          <w:b w:val="0"/>
          <w:bCs w:val="0"/>
          <w:smallCaps w:val="0"/>
          <w:color w:val="auto"/>
          <w:spacing w:val="0"/>
        </w:rPr>
        <w:t xml:space="preserve"> </w:t>
      </w:r>
      <w:r w:rsidR="001A2106" w:rsidRPr="00FD5424">
        <w:rPr>
          <w:rStyle w:val="IntenseReference"/>
          <w:rFonts w:ascii="Book Antiqua" w:eastAsiaTheme="majorEastAsia" w:hAnsi="Book Antiqua" w:cstheme="majorBidi"/>
          <w:b w:val="0"/>
          <w:bCs w:val="0"/>
          <w:smallCaps w:val="0"/>
          <w:color w:val="auto"/>
          <w:spacing w:val="0"/>
        </w:rPr>
        <w:t xml:space="preserve">strengthen </w:t>
      </w:r>
      <w:r w:rsidR="006C2E81" w:rsidRPr="00FD5424">
        <w:rPr>
          <w:rStyle w:val="IntenseReference"/>
          <w:rFonts w:ascii="Book Antiqua" w:eastAsiaTheme="majorEastAsia" w:hAnsi="Book Antiqua" w:cstheme="majorBidi"/>
          <w:b w:val="0"/>
          <w:bCs w:val="0"/>
          <w:smallCaps w:val="0"/>
          <w:color w:val="auto"/>
          <w:spacing w:val="0"/>
        </w:rPr>
        <w:t xml:space="preserve">SOM </w:t>
      </w:r>
      <w:r w:rsidR="001A2106" w:rsidRPr="00FD5424">
        <w:rPr>
          <w:rStyle w:val="IntenseReference"/>
          <w:rFonts w:ascii="Book Antiqua" w:eastAsiaTheme="majorEastAsia" w:hAnsi="Book Antiqua" w:cstheme="majorBidi"/>
          <w:b w:val="0"/>
          <w:bCs w:val="0"/>
          <w:smallCaps w:val="0"/>
          <w:color w:val="auto"/>
          <w:spacing w:val="0"/>
        </w:rPr>
        <w:t>into</w:t>
      </w:r>
      <w:r w:rsidR="006C2E81" w:rsidRPr="00FD5424">
        <w:rPr>
          <w:rStyle w:val="IntenseReference"/>
          <w:rFonts w:ascii="Book Antiqua" w:eastAsiaTheme="majorEastAsia" w:hAnsi="Book Antiqua" w:cstheme="majorBidi"/>
          <w:b w:val="0"/>
          <w:bCs w:val="0"/>
          <w:smallCaps w:val="0"/>
          <w:color w:val="auto"/>
          <w:spacing w:val="0"/>
        </w:rPr>
        <w:t xml:space="preserve"> a </w:t>
      </w:r>
      <w:r w:rsidR="00FD5424">
        <w:rPr>
          <w:rStyle w:val="IntenseReference"/>
          <w:rFonts w:ascii="Book Antiqua" w:eastAsiaTheme="majorEastAsia" w:hAnsi="Book Antiqua" w:cstheme="majorBidi"/>
          <w:b w:val="0"/>
          <w:bCs w:val="0"/>
          <w:smallCaps w:val="0"/>
          <w:color w:val="auto"/>
          <w:spacing w:val="0"/>
        </w:rPr>
        <w:t xml:space="preserve">key </w:t>
      </w:r>
      <w:r w:rsidR="001A2106" w:rsidRPr="00FD5424">
        <w:rPr>
          <w:rStyle w:val="IntenseReference"/>
          <w:rFonts w:ascii="Book Antiqua" w:eastAsiaTheme="majorEastAsia" w:hAnsi="Book Antiqua" w:cstheme="majorBidi"/>
          <w:b w:val="0"/>
          <w:bCs w:val="0"/>
          <w:smallCaps w:val="0"/>
          <w:color w:val="auto"/>
          <w:spacing w:val="0"/>
        </w:rPr>
        <w:t xml:space="preserve">decision-making body and a </w:t>
      </w:r>
      <w:r w:rsidR="00FD5424">
        <w:rPr>
          <w:rStyle w:val="IntenseReference"/>
          <w:rFonts w:ascii="Book Antiqua" w:eastAsiaTheme="majorEastAsia" w:hAnsi="Book Antiqua" w:cstheme="majorBidi"/>
          <w:b w:val="0"/>
          <w:bCs w:val="0"/>
          <w:smallCaps w:val="0"/>
          <w:color w:val="auto"/>
          <w:spacing w:val="0"/>
        </w:rPr>
        <w:t>main</w:t>
      </w:r>
      <w:r w:rsidR="006C2E81" w:rsidRPr="00FD5424">
        <w:rPr>
          <w:rStyle w:val="IntenseReference"/>
          <w:rFonts w:ascii="Book Antiqua" w:eastAsiaTheme="majorEastAsia" w:hAnsi="Book Antiqua" w:cstheme="majorBidi"/>
          <w:b w:val="0"/>
          <w:bCs w:val="0"/>
          <w:smallCaps w:val="0"/>
          <w:color w:val="auto"/>
          <w:spacing w:val="0"/>
        </w:rPr>
        <w:t xml:space="preserve"> subregional platform </w:t>
      </w:r>
      <w:r w:rsidR="00FD5424">
        <w:rPr>
          <w:rStyle w:val="IntenseReference"/>
          <w:rFonts w:ascii="Book Antiqua" w:eastAsiaTheme="majorEastAsia" w:hAnsi="Book Antiqua" w:cstheme="majorBidi"/>
          <w:b w:val="0"/>
          <w:bCs w:val="0"/>
          <w:smallCaps w:val="0"/>
          <w:color w:val="auto"/>
          <w:spacing w:val="0"/>
        </w:rPr>
        <w:t xml:space="preserve">for </w:t>
      </w:r>
      <w:r w:rsidR="00FD5424" w:rsidRPr="00FD5424">
        <w:rPr>
          <w:rStyle w:val="IntenseReference"/>
          <w:rFonts w:ascii="Book Antiqua" w:eastAsiaTheme="majorEastAsia" w:hAnsi="Book Antiqua" w:cstheme="majorBidi"/>
          <w:b w:val="0"/>
          <w:bCs w:val="0"/>
          <w:smallCaps w:val="0"/>
          <w:color w:val="auto"/>
          <w:spacing w:val="0"/>
        </w:rPr>
        <w:t>project coordination and management to the Programme.</w:t>
      </w:r>
    </w:p>
    <w:p w14:paraId="5606D357" w14:textId="77777777" w:rsidR="00280E9F" w:rsidRPr="00FD5424" w:rsidRDefault="00280E9F" w:rsidP="00FD5424">
      <w:pPr>
        <w:pStyle w:val="ListParagraph"/>
        <w:spacing w:after="120" w:line="340" w:lineRule="atLeast"/>
        <w:ind w:left="0"/>
        <w:contextualSpacing w:val="0"/>
        <w:jc w:val="both"/>
        <w:rPr>
          <w:rStyle w:val="IntenseReference"/>
          <w:rFonts w:ascii="Book Antiqua" w:eastAsiaTheme="majorEastAsia" w:hAnsi="Book Antiqua" w:cstheme="majorBidi"/>
          <w:b w:val="0"/>
          <w:bCs w:val="0"/>
          <w:smallCaps w:val="0"/>
          <w:color w:val="auto"/>
          <w:spacing w:val="0"/>
        </w:rPr>
      </w:pPr>
    </w:p>
    <w:tbl>
      <w:tblPr>
        <w:tblStyle w:val="TableGrid"/>
        <w:tblW w:w="9356" w:type="dxa"/>
        <w:tblInd w:w="-5" w:type="dxa"/>
        <w:tblLook w:val="04A0" w:firstRow="1" w:lastRow="0" w:firstColumn="1" w:lastColumn="0" w:noHBand="0" w:noVBand="1"/>
      </w:tblPr>
      <w:tblGrid>
        <w:gridCol w:w="2552"/>
        <w:gridCol w:w="6804"/>
      </w:tblGrid>
      <w:tr w:rsidR="005528FB" w:rsidRPr="00462E9A" w14:paraId="72283E06" w14:textId="77777777" w:rsidTr="0077743F">
        <w:tc>
          <w:tcPr>
            <w:tcW w:w="2552" w:type="dxa"/>
          </w:tcPr>
          <w:p w14:paraId="5CCF73D4" w14:textId="77777777" w:rsidR="005528FB" w:rsidRPr="00462E9A" w:rsidRDefault="005528FB" w:rsidP="0077743F">
            <w:pPr>
              <w:tabs>
                <w:tab w:val="left" w:pos="2127"/>
              </w:tabs>
              <w:spacing w:after="60"/>
              <w:ind w:right="176"/>
              <w:rPr>
                <w:rFonts w:ascii="Book Antiqua" w:hAnsi="Book Antiqua" w:cstheme="minorHAnsi"/>
                <w:i/>
                <w:iCs/>
              </w:rPr>
            </w:pPr>
            <w:r w:rsidRPr="00462E9A">
              <w:rPr>
                <w:rFonts w:ascii="Book Antiqua" w:hAnsi="Book Antiqua" w:cstheme="minorHAnsi"/>
                <w:i/>
                <w:iCs/>
              </w:rPr>
              <w:t>Recommendation 4:</w:t>
            </w:r>
          </w:p>
          <w:p w14:paraId="1D9B85ED" w14:textId="7B1F9E6D" w:rsidR="005528FB" w:rsidRPr="00462E9A" w:rsidRDefault="001B1388" w:rsidP="0077743F">
            <w:pPr>
              <w:tabs>
                <w:tab w:val="left" w:pos="2127"/>
              </w:tabs>
              <w:spacing w:after="60"/>
              <w:ind w:right="176"/>
              <w:rPr>
                <w:rFonts w:ascii="Book Antiqua" w:hAnsi="Book Antiqua" w:cstheme="minorHAnsi"/>
                <w:i/>
                <w:iCs/>
              </w:rPr>
            </w:pPr>
            <w:r w:rsidRPr="001B1388">
              <w:rPr>
                <w:rFonts w:ascii="Book Antiqua" w:hAnsi="Book Antiqua" w:cstheme="minorHAnsi"/>
                <w:i/>
                <w:iCs/>
              </w:rPr>
              <w:t>F</w:t>
            </w:r>
            <w:r w:rsidR="00DE606A" w:rsidRPr="001B1388">
              <w:rPr>
                <w:rFonts w:ascii="Book Antiqua" w:hAnsi="Book Antiqua" w:cstheme="minorHAnsi"/>
                <w:i/>
                <w:iCs/>
              </w:rPr>
              <w:t>or</w:t>
            </w:r>
            <w:r w:rsidRPr="001B1388">
              <w:rPr>
                <w:rFonts w:ascii="Book Antiqua" w:hAnsi="Book Antiqua" w:cstheme="minorHAnsi"/>
                <w:i/>
                <w:iCs/>
              </w:rPr>
              <w:t xml:space="preserve"> ESCAP’</w:t>
            </w:r>
            <w:r w:rsidR="00DE606A" w:rsidRPr="001B1388">
              <w:rPr>
                <w:rFonts w:ascii="Book Antiqua" w:hAnsi="Book Antiqua" w:cstheme="minorHAnsi"/>
                <w:i/>
                <w:iCs/>
              </w:rPr>
              <w:t>s</w:t>
            </w:r>
            <w:r w:rsidRPr="001B1388">
              <w:rPr>
                <w:rFonts w:ascii="Book Antiqua" w:hAnsi="Book Antiqua" w:cstheme="minorHAnsi"/>
                <w:i/>
                <w:iCs/>
              </w:rPr>
              <w:t xml:space="preserve"> </w:t>
            </w:r>
            <w:r w:rsidR="00DE606A" w:rsidRPr="001B1388">
              <w:rPr>
                <w:rFonts w:ascii="Book Antiqua" w:hAnsi="Book Antiqua" w:cstheme="minorHAnsi"/>
                <w:i/>
                <w:iCs/>
              </w:rPr>
              <w:t xml:space="preserve">Executive Secretary </w:t>
            </w:r>
            <w:r w:rsidRPr="001B1388">
              <w:rPr>
                <w:rFonts w:ascii="Book Antiqua" w:hAnsi="Book Antiqua" w:cstheme="minorHAnsi"/>
                <w:i/>
                <w:iCs/>
              </w:rPr>
              <w:t xml:space="preserve">and NEASPEC </w:t>
            </w:r>
            <w:r w:rsidR="00DE606A" w:rsidRPr="001B1388">
              <w:rPr>
                <w:rFonts w:ascii="Book Antiqua" w:hAnsi="Book Antiqua" w:cstheme="minorHAnsi"/>
                <w:i/>
                <w:iCs/>
              </w:rPr>
              <w:t>secretariat</w:t>
            </w:r>
          </w:p>
        </w:tc>
        <w:tc>
          <w:tcPr>
            <w:tcW w:w="6804" w:type="dxa"/>
          </w:tcPr>
          <w:p w14:paraId="6955454E" w14:textId="77777777" w:rsidR="00B22CE1" w:rsidRPr="0085563E" w:rsidRDefault="00B22CE1" w:rsidP="0085563E">
            <w:pPr>
              <w:spacing w:after="120"/>
              <w:rPr>
                <w:rFonts w:ascii="Book Antiqua" w:hAnsi="Book Antiqua" w:cstheme="minorHAnsi"/>
                <w:i/>
                <w:iCs/>
              </w:rPr>
            </w:pPr>
            <w:r w:rsidRPr="0085563E">
              <w:rPr>
                <w:rFonts w:ascii="Book Antiqua" w:hAnsi="Book Antiqua" w:cstheme="minorHAnsi"/>
                <w:i/>
                <w:iCs/>
              </w:rPr>
              <w:t>Strengthen existing links and identify and broaden new communication and reporting channels between NEASPEC and ESCAP with a view to optimising the synergy of this relationship for mutual gain</w:t>
            </w:r>
          </w:p>
          <w:p w14:paraId="726D9CE0" w14:textId="01595DCC" w:rsidR="005528FB" w:rsidRPr="00462E9A" w:rsidRDefault="005528FB" w:rsidP="0077743F">
            <w:pPr>
              <w:tabs>
                <w:tab w:val="left" w:pos="2127"/>
              </w:tabs>
              <w:spacing w:after="120"/>
              <w:rPr>
                <w:rFonts w:ascii="Book Antiqua" w:hAnsi="Book Antiqua" w:cstheme="minorHAnsi"/>
                <w:i/>
                <w:iCs/>
              </w:rPr>
            </w:pPr>
          </w:p>
        </w:tc>
      </w:tr>
    </w:tbl>
    <w:p w14:paraId="0F842D6D" w14:textId="77777777" w:rsidR="005528FB" w:rsidRPr="005528FB" w:rsidRDefault="005528FB" w:rsidP="005528FB">
      <w:pPr>
        <w:pStyle w:val="ListParagraph"/>
        <w:spacing w:after="120" w:line="340" w:lineRule="atLeast"/>
        <w:ind w:left="0"/>
        <w:contextualSpacing w:val="0"/>
        <w:jc w:val="both"/>
        <w:rPr>
          <w:rStyle w:val="IntenseReference"/>
          <w:rFonts w:ascii="Book Antiqua" w:eastAsiaTheme="majorEastAsia" w:hAnsi="Book Antiqua" w:cstheme="majorBidi"/>
          <w:b w:val="0"/>
          <w:bCs w:val="0"/>
          <w:smallCaps w:val="0"/>
          <w:color w:val="auto"/>
          <w:spacing w:val="0"/>
        </w:rPr>
      </w:pPr>
    </w:p>
    <w:p w14:paraId="5F506DBE" w14:textId="745868FF" w:rsidR="00F50388" w:rsidRPr="002266E1" w:rsidRDefault="00462E9A" w:rsidP="00597049">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sidRPr="002266E1">
        <w:rPr>
          <w:rFonts w:ascii="Book Antiqua" w:eastAsiaTheme="majorEastAsia" w:hAnsi="Book Antiqua" w:cstheme="majorBidi"/>
        </w:rPr>
        <w:t xml:space="preserve">With regard to recommendation </w:t>
      </w:r>
      <w:r w:rsidR="00F50388" w:rsidRPr="002266E1">
        <w:rPr>
          <w:rFonts w:ascii="Book Antiqua" w:eastAsiaTheme="majorEastAsia" w:hAnsi="Book Antiqua" w:cstheme="majorBidi"/>
        </w:rPr>
        <w:t>4</w:t>
      </w:r>
      <w:r w:rsidRPr="002266E1">
        <w:rPr>
          <w:rFonts w:ascii="Book Antiqua" w:eastAsiaTheme="majorEastAsia" w:hAnsi="Book Antiqua" w:cstheme="majorBidi"/>
        </w:rPr>
        <w:t xml:space="preserve">, </w:t>
      </w:r>
      <w:r w:rsidR="002266E1" w:rsidRPr="002266E1">
        <w:rPr>
          <w:rFonts w:ascii="Book Antiqua" w:eastAsiaTheme="majorEastAsia" w:hAnsi="Book Antiqua" w:cstheme="majorBidi"/>
        </w:rPr>
        <w:t xml:space="preserve">NEASPEC has initiated concrete steps to enhance its linkages ESCAP’s regional programmes as demonstrated through two recent resolutions on air pollution and oceans and new initiatives led by ESCAP divisions on geospatial air pollution information, climate change, and nature-based solutions.  These initiatives enable NEASPEC to work closely with ESCAP divisions and align its activities with ESCAP regional programmes. Furthermore, ESCAP management will identify options to increase visibility and linkage between NEASPEC’s SOM and ESCAP’s main intergovernmental platforms, including Commission and Committee sessions. </w:t>
      </w:r>
    </w:p>
    <w:p w14:paraId="799A8EC0" w14:textId="77777777" w:rsidR="001275CB" w:rsidRDefault="001275CB" w:rsidP="001275CB">
      <w:pPr>
        <w:pStyle w:val="ListParagraph"/>
        <w:spacing w:after="120" w:line="340" w:lineRule="atLeast"/>
        <w:ind w:left="0"/>
        <w:contextualSpacing w:val="0"/>
        <w:jc w:val="both"/>
        <w:rPr>
          <w:rFonts w:ascii="Book Antiqua" w:eastAsiaTheme="majorEastAsia" w:hAnsi="Book Antiqua" w:cstheme="majorBidi"/>
        </w:rPr>
      </w:pPr>
    </w:p>
    <w:tbl>
      <w:tblPr>
        <w:tblStyle w:val="TableGrid"/>
        <w:tblW w:w="9356" w:type="dxa"/>
        <w:tblInd w:w="-5" w:type="dxa"/>
        <w:tblLook w:val="04A0" w:firstRow="1" w:lastRow="0" w:firstColumn="1" w:lastColumn="0" w:noHBand="0" w:noVBand="1"/>
      </w:tblPr>
      <w:tblGrid>
        <w:gridCol w:w="2552"/>
        <w:gridCol w:w="6804"/>
      </w:tblGrid>
      <w:tr w:rsidR="001B1388" w:rsidRPr="00462E9A" w14:paraId="24D5FA64" w14:textId="77777777" w:rsidTr="001B1388">
        <w:tc>
          <w:tcPr>
            <w:tcW w:w="2552" w:type="dxa"/>
          </w:tcPr>
          <w:p w14:paraId="0EE80DB0" w14:textId="77777777" w:rsidR="001B1388" w:rsidRPr="00462E9A" w:rsidRDefault="001B1388" w:rsidP="006F4138">
            <w:pPr>
              <w:tabs>
                <w:tab w:val="left" w:pos="2127"/>
              </w:tabs>
              <w:spacing w:after="60"/>
              <w:ind w:right="176"/>
              <w:rPr>
                <w:rFonts w:ascii="Book Antiqua" w:hAnsi="Book Antiqua" w:cstheme="minorHAnsi"/>
                <w:i/>
                <w:iCs/>
              </w:rPr>
            </w:pPr>
            <w:r w:rsidRPr="00462E9A">
              <w:rPr>
                <w:rFonts w:ascii="Book Antiqua" w:hAnsi="Book Antiqua" w:cstheme="minorHAnsi"/>
                <w:i/>
                <w:iCs/>
              </w:rPr>
              <w:t>Recommendation 5:</w:t>
            </w:r>
          </w:p>
          <w:p w14:paraId="7761E4FD" w14:textId="52EA050B" w:rsidR="001B1388" w:rsidRPr="00462E9A" w:rsidRDefault="001337BA" w:rsidP="006F4138">
            <w:pPr>
              <w:tabs>
                <w:tab w:val="left" w:pos="2127"/>
              </w:tabs>
              <w:ind w:right="177"/>
              <w:rPr>
                <w:rFonts w:ascii="Book Antiqua" w:hAnsi="Book Antiqua" w:cstheme="minorHAnsi"/>
                <w:i/>
                <w:iCs/>
              </w:rPr>
            </w:pPr>
            <w:r>
              <w:rPr>
                <w:rFonts w:ascii="Book Antiqua" w:hAnsi="Book Antiqua" w:cstheme="minorHAnsi"/>
                <w:i/>
                <w:iCs/>
              </w:rPr>
              <w:t>F</w:t>
            </w:r>
            <w:r w:rsidR="001275CB" w:rsidRPr="001B1388">
              <w:rPr>
                <w:rFonts w:ascii="Book Antiqua" w:hAnsi="Book Antiqua" w:cstheme="minorHAnsi"/>
                <w:i/>
                <w:iCs/>
              </w:rPr>
              <w:t>or NEASPEC secretariat and SOM</w:t>
            </w:r>
          </w:p>
        </w:tc>
        <w:tc>
          <w:tcPr>
            <w:tcW w:w="6804" w:type="dxa"/>
          </w:tcPr>
          <w:p w14:paraId="019AA5C4" w14:textId="77777777" w:rsidR="001B1388" w:rsidRPr="00462E9A" w:rsidRDefault="001B1388" w:rsidP="006F4138">
            <w:pPr>
              <w:tabs>
                <w:tab w:val="left" w:pos="2127"/>
              </w:tabs>
              <w:spacing w:after="120"/>
              <w:rPr>
                <w:rFonts w:ascii="Book Antiqua" w:hAnsi="Book Antiqua" w:cstheme="minorHAnsi"/>
                <w:i/>
                <w:iCs/>
              </w:rPr>
            </w:pPr>
            <w:r w:rsidRPr="001B1388">
              <w:rPr>
                <w:rFonts w:ascii="Book Antiqua" w:hAnsi="Book Antiqua" w:cstheme="minorHAnsi"/>
                <w:i/>
                <w:iCs/>
              </w:rPr>
              <w:t xml:space="preserve">Revise the funding modalities to enhance the reliability and level of funding flows, and review options for progressively moving towards more </w:t>
            </w:r>
            <w:r w:rsidRPr="001B1388">
              <w:rPr>
                <w:rFonts w:ascii="Book Antiqua" w:hAnsi="Book Antiqua" w:cstheme="minorHAnsi"/>
                <w:i/>
                <w:iCs/>
              </w:rPr>
              <w:lastRenderedPageBreak/>
              <w:t>equitable contributions from all member States, with a roadmap towards this achievement.</w:t>
            </w:r>
          </w:p>
        </w:tc>
      </w:tr>
      <w:tr w:rsidR="006C2E81" w:rsidRPr="00462E9A" w14:paraId="5C24BE9D" w14:textId="77777777" w:rsidTr="001B1388">
        <w:tc>
          <w:tcPr>
            <w:tcW w:w="2552" w:type="dxa"/>
          </w:tcPr>
          <w:p w14:paraId="23829BBD" w14:textId="33957ADF" w:rsidR="006C2E81" w:rsidRPr="00462E9A" w:rsidRDefault="006C2E81" w:rsidP="0077743F">
            <w:pPr>
              <w:tabs>
                <w:tab w:val="left" w:pos="2127"/>
              </w:tabs>
              <w:spacing w:after="60"/>
              <w:ind w:right="176"/>
              <w:rPr>
                <w:rFonts w:ascii="Book Antiqua" w:hAnsi="Book Antiqua" w:cstheme="minorHAnsi"/>
                <w:i/>
                <w:iCs/>
              </w:rPr>
            </w:pPr>
            <w:r w:rsidRPr="00462E9A">
              <w:rPr>
                <w:rFonts w:ascii="Book Antiqua" w:hAnsi="Book Antiqua" w:cstheme="minorHAnsi"/>
                <w:i/>
                <w:iCs/>
              </w:rPr>
              <w:lastRenderedPageBreak/>
              <w:t xml:space="preserve">Recommendation </w:t>
            </w:r>
            <w:r w:rsidR="001B1388">
              <w:rPr>
                <w:rFonts w:ascii="Book Antiqua" w:hAnsi="Book Antiqua" w:cstheme="minorHAnsi"/>
                <w:i/>
                <w:iCs/>
              </w:rPr>
              <w:t>6</w:t>
            </w:r>
            <w:r w:rsidRPr="00462E9A">
              <w:rPr>
                <w:rFonts w:ascii="Book Antiqua" w:hAnsi="Book Antiqua" w:cstheme="minorHAnsi"/>
                <w:i/>
                <w:iCs/>
              </w:rPr>
              <w:t>:</w:t>
            </w:r>
          </w:p>
          <w:p w14:paraId="649D6984" w14:textId="6A502FB1" w:rsidR="006C2E81" w:rsidRPr="00462E9A" w:rsidRDefault="001337BA" w:rsidP="0077743F">
            <w:pPr>
              <w:tabs>
                <w:tab w:val="left" w:pos="2127"/>
              </w:tabs>
              <w:spacing w:after="60"/>
              <w:ind w:right="176"/>
              <w:rPr>
                <w:rFonts w:ascii="Book Antiqua" w:hAnsi="Book Antiqua" w:cstheme="minorHAnsi"/>
                <w:i/>
                <w:iCs/>
              </w:rPr>
            </w:pPr>
            <w:r>
              <w:rPr>
                <w:rFonts w:ascii="Book Antiqua" w:hAnsi="Book Antiqua" w:cstheme="minorHAnsi"/>
                <w:i/>
                <w:iCs/>
              </w:rPr>
              <w:t>F</w:t>
            </w:r>
            <w:r w:rsidRPr="001B1388">
              <w:rPr>
                <w:rFonts w:ascii="Book Antiqua" w:hAnsi="Book Antiqua" w:cstheme="minorHAnsi"/>
                <w:i/>
                <w:iCs/>
              </w:rPr>
              <w:t>or NEASPEC secretariat</w:t>
            </w:r>
            <w:r w:rsidR="001B1388" w:rsidRPr="001B1388">
              <w:rPr>
                <w:rFonts w:ascii="Book Antiqua" w:hAnsi="Book Antiqua" w:cstheme="minorHAnsi"/>
                <w:i/>
                <w:iCs/>
              </w:rPr>
              <w:t>, SOM, and ESCAP</w:t>
            </w:r>
          </w:p>
        </w:tc>
        <w:tc>
          <w:tcPr>
            <w:tcW w:w="6804" w:type="dxa"/>
          </w:tcPr>
          <w:p w14:paraId="05E5CE37" w14:textId="54FE94BF" w:rsidR="006C2E81" w:rsidRPr="00462E9A" w:rsidRDefault="001B1388" w:rsidP="0077743F">
            <w:pPr>
              <w:tabs>
                <w:tab w:val="left" w:pos="2127"/>
              </w:tabs>
              <w:spacing w:after="120"/>
              <w:rPr>
                <w:rFonts w:ascii="Book Antiqua" w:hAnsi="Book Antiqua" w:cstheme="minorHAnsi"/>
                <w:i/>
                <w:iCs/>
              </w:rPr>
            </w:pPr>
            <w:r w:rsidRPr="001B1388">
              <w:rPr>
                <w:rFonts w:ascii="Book Antiqua" w:hAnsi="Book Antiqua" w:cstheme="minorHAnsi"/>
                <w:i/>
                <w:iCs/>
              </w:rPr>
              <w:t>Enhance the resourcing of the NEASPEC Secretariat.</w:t>
            </w:r>
          </w:p>
        </w:tc>
      </w:tr>
    </w:tbl>
    <w:p w14:paraId="3314CCAA" w14:textId="31F7F0B5" w:rsidR="006A51D1" w:rsidRDefault="006A51D1" w:rsidP="006C2E81">
      <w:pPr>
        <w:pStyle w:val="ListParagraph"/>
        <w:spacing w:after="120" w:line="340" w:lineRule="atLeast"/>
        <w:ind w:left="0"/>
        <w:contextualSpacing w:val="0"/>
        <w:jc w:val="both"/>
      </w:pPr>
    </w:p>
    <w:p w14:paraId="0FDA221A" w14:textId="4736530E" w:rsidR="006C2E81" w:rsidRDefault="00F50388" w:rsidP="006C2E81">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Pr>
          <w:rFonts w:ascii="Book Antiqua" w:eastAsiaTheme="majorEastAsia" w:hAnsi="Book Antiqua" w:cstheme="majorBidi"/>
        </w:rPr>
        <w:t xml:space="preserve">With regard to recommendations </w:t>
      </w:r>
      <w:r w:rsidR="001B1388">
        <w:rPr>
          <w:rFonts w:ascii="Book Antiqua" w:eastAsiaTheme="majorEastAsia" w:hAnsi="Book Antiqua" w:cstheme="majorBidi"/>
        </w:rPr>
        <w:t>5</w:t>
      </w:r>
      <w:r w:rsidR="006945C4">
        <w:rPr>
          <w:rFonts w:ascii="Book Antiqua" w:eastAsiaTheme="majorEastAsia" w:hAnsi="Book Antiqua" w:cstheme="majorBidi"/>
        </w:rPr>
        <w:t xml:space="preserve"> </w:t>
      </w:r>
      <w:r w:rsidR="00A30268">
        <w:rPr>
          <w:rFonts w:ascii="Book Antiqua" w:eastAsiaTheme="majorEastAsia" w:hAnsi="Book Antiqua" w:cstheme="majorBidi"/>
        </w:rPr>
        <w:t xml:space="preserve">and </w:t>
      </w:r>
      <w:r w:rsidR="00D93246">
        <w:rPr>
          <w:rFonts w:ascii="Book Antiqua" w:eastAsiaTheme="majorEastAsia" w:hAnsi="Book Antiqua" w:cstheme="majorBidi"/>
        </w:rPr>
        <w:t>6</w:t>
      </w:r>
      <w:r w:rsidR="006945C4">
        <w:rPr>
          <w:rFonts w:ascii="Book Antiqua" w:eastAsiaTheme="majorEastAsia" w:hAnsi="Book Antiqua" w:cstheme="majorBidi"/>
        </w:rPr>
        <w:t xml:space="preserve">, </w:t>
      </w:r>
      <w:r w:rsidR="002266E1">
        <w:rPr>
          <w:rFonts w:ascii="Book Antiqua" w:eastAsiaTheme="majorEastAsia" w:hAnsi="Book Antiqua" w:cstheme="majorBidi"/>
        </w:rPr>
        <w:t>T</w:t>
      </w:r>
      <w:r w:rsidR="002266E1" w:rsidRPr="002266E1">
        <w:rPr>
          <w:rFonts w:ascii="Book Antiqua" w:eastAsiaTheme="majorEastAsia" w:hAnsi="Book Antiqua" w:cstheme="majorBidi"/>
        </w:rPr>
        <w:t>he issue of funding had been discussed in many occasions in the past SOMs</w:t>
      </w:r>
      <w:r w:rsidR="002266E1">
        <w:rPr>
          <w:rFonts w:ascii="Book Antiqua" w:eastAsiaTheme="majorEastAsia" w:hAnsi="Book Antiqua" w:cstheme="majorBidi"/>
        </w:rPr>
        <w:t>.</w:t>
      </w:r>
      <w:r w:rsidR="002266E1" w:rsidRPr="002266E1">
        <w:rPr>
          <w:rFonts w:ascii="Book Antiqua" w:eastAsiaTheme="majorEastAsia" w:hAnsi="Book Antiqua" w:cstheme="majorBidi"/>
        </w:rPr>
        <w:t xml:space="preserve"> </w:t>
      </w:r>
      <w:r w:rsidR="008C7139">
        <w:rPr>
          <w:rFonts w:ascii="Book Antiqua" w:eastAsiaTheme="majorEastAsia" w:hAnsi="Book Antiqua" w:cstheme="majorBidi"/>
        </w:rPr>
        <w:t xml:space="preserve">In particular, SOM-17 in 2012 reviewed a recommendation to move away </w:t>
      </w:r>
      <w:r w:rsidR="008C7139" w:rsidRPr="008C7139">
        <w:rPr>
          <w:rFonts w:ascii="Book Antiqua" w:eastAsiaTheme="majorEastAsia" w:hAnsi="Book Antiqua" w:cstheme="majorBidi"/>
        </w:rPr>
        <w:t>from the present voluntary contributions to a more stable and regular mechanism</w:t>
      </w:r>
      <w:r w:rsidR="008C7139">
        <w:rPr>
          <w:rFonts w:ascii="Book Antiqua" w:eastAsiaTheme="majorEastAsia" w:hAnsi="Book Antiqua" w:cstheme="majorBidi"/>
        </w:rPr>
        <w:t xml:space="preserve">. </w:t>
      </w:r>
      <w:r w:rsidR="00502309">
        <w:rPr>
          <w:rFonts w:ascii="Book Antiqua" w:eastAsiaTheme="majorEastAsia" w:hAnsi="Book Antiqua" w:cstheme="majorBidi"/>
        </w:rPr>
        <w:t>Since then, there has been increasing financial resources, particularly, with project-based funding. However,</w:t>
      </w:r>
      <w:r w:rsidR="002266E1">
        <w:rPr>
          <w:rFonts w:ascii="Book Antiqua" w:eastAsiaTheme="majorEastAsia" w:hAnsi="Book Antiqua" w:cstheme="majorBidi"/>
        </w:rPr>
        <w:t xml:space="preserve"> </w:t>
      </w:r>
      <w:r w:rsidR="002266E1" w:rsidRPr="002266E1">
        <w:rPr>
          <w:rFonts w:ascii="Book Antiqua" w:eastAsiaTheme="majorEastAsia" w:hAnsi="Book Antiqua" w:cstheme="majorBidi"/>
        </w:rPr>
        <w:t>ESCAP management recognizes that it is the right time</w:t>
      </w:r>
      <w:r w:rsidR="00502309">
        <w:rPr>
          <w:rFonts w:ascii="Book Antiqua" w:eastAsiaTheme="majorEastAsia" w:hAnsi="Book Antiqua" w:cstheme="majorBidi"/>
        </w:rPr>
        <w:t xml:space="preserve"> </w:t>
      </w:r>
      <w:r w:rsidR="00A55A88">
        <w:rPr>
          <w:rFonts w:ascii="Book Antiqua" w:eastAsiaTheme="majorEastAsia" w:hAnsi="Book Antiqua" w:cstheme="majorBidi"/>
        </w:rPr>
        <w:t>for member States to consider institutionalizing the modality of national contributions</w:t>
      </w:r>
      <w:r w:rsidR="00140E24">
        <w:rPr>
          <w:rFonts w:ascii="Book Antiqua" w:eastAsiaTheme="majorEastAsia" w:hAnsi="Book Antiqua" w:cstheme="majorBidi"/>
        </w:rPr>
        <w:t xml:space="preserve">, for example, </w:t>
      </w:r>
      <w:r w:rsidR="00453949">
        <w:rPr>
          <w:rFonts w:ascii="Book Antiqua" w:eastAsiaTheme="majorEastAsia" w:hAnsi="Book Antiqua" w:cstheme="majorBidi"/>
        </w:rPr>
        <w:t xml:space="preserve">through </w:t>
      </w:r>
      <w:r w:rsidR="00140E24">
        <w:rPr>
          <w:rFonts w:ascii="Book Antiqua" w:eastAsiaTheme="majorEastAsia" w:hAnsi="Book Antiqua" w:cstheme="majorBidi"/>
        </w:rPr>
        <w:t>a trust fund agreement,</w:t>
      </w:r>
      <w:r w:rsidR="00A55A88">
        <w:rPr>
          <w:rFonts w:ascii="Book Antiqua" w:eastAsiaTheme="majorEastAsia" w:hAnsi="Book Antiqua" w:cstheme="majorBidi"/>
        </w:rPr>
        <w:t xml:space="preserve"> towards </w:t>
      </w:r>
      <w:r w:rsidR="00A55A88" w:rsidRPr="006C2E81">
        <w:rPr>
          <w:rFonts w:ascii="Book Antiqua" w:eastAsiaTheme="majorEastAsia" w:hAnsi="Book Antiqua" w:cstheme="majorBidi"/>
        </w:rPr>
        <w:t>more stable</w:t>
      </w:r>
      <w:r w:rsidR="00A55A88">
        <w:rPr>
          <w:rFonts w:ascii="Book Antiqua" w:eastAsiaTheme="majorEastAsia" w:hAnsi="Book Antiqua" w:cstheme="majorBidi"/>
        </w:rPr>
        <w:t xml:space="preserve"> and predictable</w:t>
      </w:r>
      <w:r w:rsidR="00280E9F">
        <w:rPr>
          <w:rFonts w:ascii="Book Antiqua" w:eastAsiaTheme="majorEastAsia" w:hAnsi="Book Antiqua" w:cstheme="majorBidi"/>
        </w:rPr>
        <w:t xml:space="preserve">, which could be discussed </w:t>
      </w:r>
      <w:r w:rsidR="00E8545A">
        <w:rPr>
          <w:rFonts w:ascii="Book Antiqua" w:eastAsiaTheme="majorEastAsia" w:hAnsi="Book Antiqua" w:cstheme="majorBidi"/>
        </w:rPr>
        <w:t xml:space="preserve">in connection with </w:t>
      </w:r>
      <w:r w:rsidR="00280E9F">
        <w:rPr>
          <w:rFonts w:ascii="Book Antiqua" w:eastAsiaTheme="majorEastAsia" w:hAnsi="Book Antiqua" w:cstheme="majorBidi"/>
        </w:rPr>
        <w:t>the recommendation 1 and 2</w:t>
      </w:r>
      <w:r w:rsidR="00A55A88">
        <w:rPr>
          <w:rFonts w:ascii="Book Antiqua" w:eastAsiaTheme="majorEastAsia" w:hAnsi="Book Antiqua" w:cstheme="majorBidi"/>
        </w:rPr>
        <w:t xml:space="preserve"> </w:t>
      </w:r>
      <w:r w:rsidR="00A55A88" w:rsidRPr="006C2E81">
        <w:rPr>
          <w:rFonts w:ascii="Book Antiqua" w:eastAsiaTheme="majorEastAsia" w:hAnsi="Book Antiqua" w:cstheme="majorBidi"/>
        </w:rPr>
        <w:t xml:space="preserve"> </w:t>
      </w:r>
    </w:p>
    <w:p w14:paraId="49CACE7D" w14:textId="76BC1C3E" w:rsidR="006A51D1" w:rsidRDefault="006C2E81" w:rsidP="006A51D1">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sidRPr="006C2E81">
        <w:rPr>
          <w:rFonts w:ascii="Book Antiqua" w:eastAsiaTheme="majorEastAsia" w:hAnsi="Book Antiqua" w:cstheme="majorBidi"/>
        </w:rPr>
        <w:t xml:space="preserve">To strengthen the human and technical capacity of the Secretariat, </w:t>
      </w:r>
      <w:r w:rsidR="001337BA">
        <w:rPr>
          <w:rFonts w:ascii="Book Antiqua" w:eastAsiaTheme="majorEastAsia" w:hAnsi="Book Antiqua" w:cstheme="majorBidi"/>
        </w:rPr>
        <w:t xml:space="preserve">previous SOMs reviewed </w:t>
      </w:r>
      <w:r w:rsidRPr="006C2E81">
        <w:rPr>
          <w:rFonts w:ascii="Book Antiqua" w:eastAsiaTheme="majorEastAsia" w:hAnsi="Book Antiqua" w:cstheme="majorBidi"/>
        </w:rPr>
        <w:t>the option of having the secondment of national experts to the Secretariat</w:t>
      </w:r>
      <w:r w:rsidR="001337BA">
        <w:rPr>
          <w:rFonts w:ascii="Book Antiqua" w:eastAsiaTheme="majorEastAsia" w:hAnsi="Book Antiqua" w:cstheme="majorBidi"/>
        </w:rPr>
        <w:t>, and e</w:t>
      </w:r>
      <w:r w:rsidRPr="006C2E81">
        <w:rPr>
          <w:rFonts w:ascii="Book Antiqua" w:eastAsiaTheme="majorEastAsia" w:hAnsi="Book Antiqua" w:cstheme="majorBidi"/>
        </w:rPr>
        <w:t>nhancing the role of committees, working groups and national institutions in programme development and implementation</w:t>
      </w:r>
      <w:r w:rsidR="001337BA">
        <w:rPr>
          <w:rFonts w:ascii="Book Antiqua" w:eastAsiaTheme="majorEastAsia" w:hAnsi="Book Antiqua" w:cstheme="majorBidi"/>
        </w:rPr>
        <w:t xml:space="preserve"> </w:t>
      </w:r>
      <w:r w:rsidRPr="006C2E81">
        <w:rPr>
          <w:rFonts w:ascii="Book Antiqua" w:eastAsiaTheme="majorEastAsia" w:hAnsi="Book Antiqua" w:cstheme="majorBidi"/>
        </w:rPr>
        <w:t>to supplement the Secretariat’s capacity.</w:t>
      </w:r>
      <w:r w:rsidR="001337BA" w:rsidRPr="001337BA">
        <w:rPr>
          <w:rFonts w:ascii="Book Antiqua" w:eastAsiaTheme="majorEastAsia" w:hAnsi="Book Antiqua" w:cstheme="majorBidi"/>
        </w:rPr>
        <w:t xml:space="preserve"> </w:t>
      </w:r>
      <w:r w:rsidR="001337BA">
        <w:rPr>
          <w:rFonts w:ascii="Book Antiqua" w:eastAsiaTheme="majorEastAsia" w:hAnsi="Book Antiqua" w:cstheme="majorBidi"/>
        </w:rPr>
        <w:t xml:space="preserve">The recent development of </w:t>
      </w:r>
      <w:r w:rsidR="001337BA" w:rsidRPr="006C2E81">
        <w:rPr>
          <w:rFonts w:ascii="Book Antiqua" w:eastAsiaTheme="majorEastAsia" w:hAnsi="Book Antiqua" w:cstheme="majorBidi"/>
        </w:rPr>
        <w:t>NEACAP Science and Policy Committee</w:t>
      </w:r>
      <w:r w:rsidR="001337BA">
        <w:rPr>
          <w:rFonts w:ascii="Book Antiqua" w:eastAsiaTheme="majorEastAsia" w:hAnsi="Book Antiqua" w:cstheme="majorBidi"/>
        </w:rPr>
        <w:t xml:space="preserve"> and</w:t>
      </w:r>
      <w:r w:rsidR="001337BA" w:rsidRPr="006C2E81">
        <w:rPr>
          <w:rFonts w:ascii="Book Antiqua" w:eastAsiaTheme="majorEastAsia" w:hAnsi="Book Antiqua" w:cstheme="majorBidi"/>
        </w:rPr>
        <w:t xml:space="preserve"> NEAMPAN Steering Committee</w:t>
      </w:r>
      <w:r w:rsidR="001337BA">
        <w:rPr>
          <w:rFonts w:ascii="Book Antiqua" w:eastAsiaTheme="majorEastAsia" w:hAnsi="Book Antiqua" w:cstheme="majorBidi"/>
        </w:rPr>
        <w:t xml:space="preserve">, and informal networks of institutions and experts in other programmatic areas have increased the technical capacity of NEASPEC. </w:t>
      </w:r>
      <w:r w:rsidR="0072424F">
        <w:rPr>
          <w:rFonts w:ascii="Book Antiqua" w:eastAsiaTheme="majorEastAsia" w:hAnsi="Book Antiqua" w:cstheme="majorBidi"/>
        </w:rPr>
        <w:t>However, the option of expert secondment could be still useful</w:t>
      </w:r>
      <w:r w:rsidR="007A0EFA">
        <w:rPr>
          <w:rFonts w:ascii="Book Antiqua" w:eastAsiaTheme="majorEastAsia" w:hAnsi="Book Antiqua" w:cstheme="majorBidi"/>
        </w:rPr>
        <w:t xml:space="preserve">, which could </w:t>
      </w:r>
      <w:r w:rsidR="00280E9F">
        <w:rPr>
          <w:rFonts w:ascii="Book Antiqua" w:eastAsiaTheme="majorEastAsia" w:hAnsi="Book Antiqua" w:cstheme="majorBidi"/>
        </w:rPr>
        <w:t>offer mutual</w:t>
      </w:r>
      <w:r w:rsidR="007A0EFA">
        <w:rPr>
          <w:rFonts w:ascii="Book Antiqua" w:eastAsiaTheme="majorEastAsia" w:hAnsi="Book Antiqua" w:cstheme="majorBidi"/>
        </w:rPr>
        <w:t xml:space="preserve"> benefits for the Secretariat and member States,</w:t>
      </w:r>
      <w:r w:rsidR="0072424F">
        <w:rPr>
          <w:rFonts w:ascii="Book Antiqua" w:eastAsiaTheme="majorEastAsia" w:hAnsi="Book Antiqua" w:cstheme="majorBidi"/>
        </w:rPr>
        <w:t xml:space="preserve"> and ESCAP will be ready to support such arrangement with member States. </w:t>
      </w:r>
      <w:r w:rsidR="00140E24">
        <w:rPr>
          <w:rFonts w:ascii="Book Antiqua" w:eastAsiaTheme="majorEastAsia" w:hAnsi="Book Antiqua" w:cstheme="majorBidi"/>
        </w:rPr>
        <w:t xml:space="preserve">Furthermore, the Secretariat will make an internal arrangement for allocating more staff time to enhance the efficiency of work on NEASPEC. </w:t>
      </w:r>
      <w:r w:rsidR="001337BA">
        <w:rPr>
          <w:rFonts w:ascii="Book Antiqua" w:eastAsiaTheme="majorEastAsia" w:hAnsi="Book Antiqua" w:cstheme="majorBidi"/>
        </w:rPr>
        <w:t xml:space="preserve"> </w:t>
      </w:r>
      <w:r w:rsidR="00B37ADD">
        <w:rPr>
          <w:rFonts w:ascii="Book Antiqua" w:eastAsiaTheme="majorEastAsia" w:hAnsi="Book Antiqua" w:cstheme="majorBidi"/>
        </w:rPr>
        <w:t>In this regard, ESCAP management proposes allocat</w:t>
      </w:r>
      <w:r w:rsidR="001E71B5">
        <w:rPr>
          <w:rFonts w:ascii="Book Antiqua" w:eastAsiaTheme="majorEastAsia" w:hAnsi="Book Antiqua" w:cstheme="majorBidi"/>
        </w:rPr>
        <w:t>ing</w:t>
      </w:r>
      <w:r w:rsidR="00B37ADD">
        <w:rPr>
          <w:rFonts w:ascii="Book Antiqua" w:eastAsiaTheme="majorEastAsia" w:hAnsi="Book Antiqua" w:cstheme="majorBidi"/>
        </w:rPr>
        <w:t xml:space="preserve"> the Core Fund for co-financing the professional staff dedicated to the NEASPEC operation, as proposed in the programme planning and management: January 2021-December 2025 under the Agenda item 7 (Review and Planning of the Core and Project-based Fund) of SOM-24.</w:t>
      </w:r>
    </w:p>
    <w:p w14:paraId="51766843" w14:textId="468AB04D" w:rsidR="001275CB" w:rsidRDefault="001275CB" w:rsidP="001275CB">
      <w:pPr>
        <w:pStyle w:val="ListParagraph"/>
        <w:spacing w:after="120" w:line="340" w:lineRule="atLeast"/>
        <w:ind w:left="0"/>
        <w:contextualSpacing w:val="0"/>
        <w:jc w:val="both"/>
        <w:rPr>
          <w:rFonts w:ascii="Book Antiqua" w:eastAsiaTheme="majorEastAsia" w:hAnsi="Book Antiqua" w:cstheme="majorBidi"/>
        </w:rPr>
      </w:pPr>
    </w:p>
    <w:tbl>
      <w:tblPr>
        <w:tblStyle w:val="TableGrid"/>
        <w:tblW w:w="9356" w:type="dxa"/>
        <w:tblInd w:w="-5" w:type="dxa"/>
        <w:tblLook w:val="04A0" w:firstRow="1" w:lastRow="0" w:firstColumn="1" w:lastColumn="0" w:noHBand="0" w:noVBand="1"/>
      </w:tblPr>
      <w:tblGrid>
        <w:gridCol w:w="2552"/>
        <w:gridCol w:w="6804"/>
      </w:tblGrid>
      <w:tr w:rsidR="001275CB" w:rsidRPr="00462E9A" w14:paraId="03D0A5F4" w14:textId="77777777" w:rsidTr="00A34111">
        <w:tc>
          <w:tcPr>
            <w:tcW w:w="2552" w:type="dxa"/>
          </w:tcPr>
          <w:p w14:paraId="5C1FA78C" w14:textId="77777777" w:rsidR="001275CB" w:rsidRPr="00462E9A" w:rsidRDefault="001275CB" w:rsidP="00A34111">
            <w:pPr>
              <w:tabs>
                <w:tab w:val="left" w:pos="2127"/>
              </w:tabs>
              <w:spacing w:after="60"/>
              <w:ind w:right="176"/>
              <w:rPr>
                <w:rFonts w:ascii="Book Antiqua" w:hAnsi="Book Antiqua" w:cstheme="minorHAnsi"/>
                <w:i/>
                <w:iCs/>
              </w:rPr>
            </w:pPr>
            <w:r w:rsidRPr="00462E9A">
              <w:rPr>
                <w:rFonts w:ascii="Book Antiqua" w:hAnsi="Book Antiqua" w:cstheme="minorHAnsi"/>
                <w:i/>
                <w:iCs/>
              </w:rPr>
              <w:t xml:space="preserve">Recommendation </w:t>
            </w:r>
            <w:r>
              <w:rPr>
                <w:rFonts w:ascii="Book Antiqua" w:hAnsi="Book Antiqua" w:cstheme="minorHAnsi"/>
                <w:i/>
                <w:iCs/>
              </w:rPr>
              <w:t>7</w:t>
            </w:r>
            <w:r w:rsidRPr="00462E9A">
              <w:rPr>
                <w:rFonts w:ascii="Book Antiqua" w:hAnsi="Book Antiqua" w:cstheme="minorHAnsi"/>
                <w:i/>
                <w:iCs/>
              </w:rPr>
              <w:t>:</w:t>
            </w:r>
          </w:p>
          <w:p w14:paraId="456B8372" w14:textId="215829A7" w:rsidR="001275CB" w:rsidRPr="00462E9A" w:rsidRDefault="0072424F" w:rsidP="00A34111">
            <w:pPr>
              <w:tabs>
                <w:tab w:val="left" w:pos="2127"/>
              </w:tabs>
              <w:spacing w:after="60"/>
              <w:ind w:right="176"/>
              <w:rPr>
                <w:rFonts w:ascii="Book Antiqua" w:hAnsi="Book Antiqua" w:cstheme="minorHAnsi"/>
                <w:i/>
                <w:iCs/>
              </w:rPr>
            </w:pPr>
            <w:r>
              <w:rPr>
                <w:rFonts w:ascii="Book Antiqua" w:hAnsi="Book Antiqua" w:cstheme="minorHAnsi"/>
                <w:i/>
                <w:iCs/>
              </w:rPr>
              <w:t>F</w:t>
            </w:r>
            <w:r w:rsidRPr="001B1388">
              <w:rPr>
                <w:rFonts w:ascii="Book Antiqua" w:hAnsi="Book Antiqua" w:cstheme="minorHAnsi"/>
                <w:i/>
                <w:iCs/>
              </w:rPr>
              <w:t>or NEASPEC secretariat</w:t>
            </w:r>
          </w:p>
        </w:tc>
        <w:tc>
          <w:tcPr>
            <w:tcW w:w="6804" w:type="dxa"/>
          </w:tcPr>
          <w:p w14:paraId="489E813C" w14:textId="77777777" w:rsidR="001275CB" w:rsidRPr="00462E9A" w:rsidRDefault="001275CB" w:rsidP="00A34111">
            <w:pPr>
              <w:tabs>
                <w:tab w:val="left" w:pos="2127"/>
              </w:tabs>
              <w:spacing w:after="120"/>
              <w:rPr>
                <w:rFonts w:ascii="Book Antiqua" w:hAnsi="Book Antiqua" w:cstheme="minorHAnsi"/>
                <w:i/>
                <w:iCs/>
              </w:rPr>
            </w:pPr>
            <w:r w:rsidRPr="001B1388">
              <w:rPr>
                <w:rFonts w:ascii="Book Antiqua" w:hAnsi="Book Antiqua" w:cstheme="minorHAnsi"/>
                <w:i/>
                <w:iCs/>
              </w:rPr>
              <w:t>Use virtual meetings to enhance the frequency and quality of the intergovernmental connectedness being pursued under NEASPEC.</w:t>
            </w:r>
          </w:p>
        </w:tc>
      </w:tr>
    </w:tbl>
    <w:p w14:paraId="519A4B45" w14:textId="4E42AA9B" w:rsidR="001275CB" w:rsidRDefault="001275CB" w:rsidP="0072424F">
      <w:pPr>
        <w:pStyle w:val="ListParagraph"/>
        <w:spacing w:after="120" w:line="340" w:lineRule="atLeast"/>
        <w:ind w:left="0"/>
        <w:contextualSpacing w:val="0"/>
        <w:jc w:val="both"/>
        <w:rPr>
          <w:rFonts w:ascii="Book Antiqua" w:eastAsiaTheme="majorEastAsia" w:hAnsi="Book Antiqua" w:cstheme="majorBidi"/>
        </w:rPr>
      </w:pPr>
    </w:p>
    <w:p w14:paraId="6E97EC53" w14:textId="326D4FD4" w:rsidR="0072424F" w:rsidRDefault="00D93246" w:rsidP="0072424F">
      <w:pPr>
        <w:pStyle w:val="ListParagraph"/>
        <w:numPr>
          <w:ilvl w:val="0"/>
          <w:numId w:val="3"/>
        </w:numPr>
        <w:spacing w:after="120" w:line="340" w:lineRule="atLeast"/>
        <w:ind w:left="0" w:firstLine="0"/>
        <w:contextualSpacing w:val="0"/>
        <w:jc w:val="both"/>
        <w:rPr>
          <w:rFonts w:ascii="Book Antiqua" w:eastAsiaTheme="majorEastAsia" w:hAnsi="Book Antiqua" w:cstheme="majorBidi"/>
        </w:rPr>
      </w:pPr>
      <w:r>
        <w:rPr>
          <w:rFonts w:ascii="Book Antiqua" w:eastAsiaTheme="majorEastAsia" w:hAnsi="Book Antiqua" w:cstheme="majorBidi"/>
        </w:rPr>
        <w:t xml:space="preserve">With regard to recommendation 7, </w:t>
      </w:r>
      <w:r w:rsidR="002266E1" w:rsidRPr="002266E1">
        <w:rPr>
          <w:rFonts w:ascii="Book Antiqua" w:eastAsiaTheme="majorEastAsia" w:hAnsi="Book Antiqua" w:cstheme="majorBidi"/>
        </w:rPr>
        <w:t xml:space="preserve">ESCAP management agrees with this recommendation. </w:t>
      </w:r>
      <w:r w:rsidR="002266E1">
        <w:rPr>
          <w:rFonts w:ascii="Book Antiqua" w:eastAsiaTheme="majorEastAsia" w:hAnsi="Book Antiqua" w:cstheme="majorBidi"/>
        </w:rPr>
        <w:t>T</w:t>
      </w:r>
      <w:r w:rsidR="0072424F">
        <w:rPr>
          <w:rFonts w:ascii="Book Antiqua" w:eastAsiaTheme="majorEastAsia" w:hAnsi="Book Antiqua" w:cstheme="majorBidi"/>
        </w:rPr>
        <w:t xml:space="preserve">he new experience in conducting virtual meetings under the COVID-19 pandemic provides new opportunities for both the Secretariat and member governments and </w:t>
      </w:r>
      <w:r w:rsidR="0072424F">
        <w:rPr>
          <w:rFonts w:ascii="Book Antiqua" w:eastAsiaTheme="majorEastAsia" w:hAnsi="Book Antiqua" w:cstheme="majorBidi"/>
        </w:rPr>
        <w:lastRenderedPageBreak/>
        <w:t>project partners. The</w:t>
      </w:r>
      <w:r w:rsidR="002266E1">
        <w:rPr>
          <w:rFonts w:ascii="Book Antiqua" w:eastAsiaTheme="majorEastAsia" w:hAnsi="Book Antiqua" w:cstheme="majorBidi"/>
        </w:rPr>
        <w:t xml:space="preserve"> NEASPEC</w:t>
      </w:r>
      <w:r w:rsidR="0072424F">
        <w:rPr>
          <w:rFonts w:ascii="Book Antiqua" w:eastAsiaTheme="majorEastAsia" w:hAnsi="Book Antiqua" w:cstheme="majorBidi"/>
        </w:rPr>
        <w:t xml:space="preserve"> Secretariat will utilize virtual meetings even after returning to the normal condition in order to</w:t>
      </w:r>
      <w:r w:rsidR="0072424F" w:rsidRPr="0072424F">
        <w:rPr>
          <w:rFonts w:ascii="Book Antiqua" w:eastAsiaTheme="majorEastAsia" w:hAnsi="Book Antiqua" w:cstheme="majorBidi"/>
        </w:rPr>
        <w:t xml:space="preserve"> enhance the frequency and quality of the intergovernmental connectedness</w:t>
      </w:r>
      <w:r w:rsidR="0072424F">
        <w:rPr>
          <w:rFonts w:ascii="Book Antiqua" w:eastAsiaTheme="majorEastAsia" w:hAnsi="Book Antiqua" w:cstheme="majorBidi"/>
        </w:rPr>
        <w:t xml:space="preserve">. </w:t>
      </w:r>
    </w:p>
    <w:p w14:paraId="74991EAE" w14:textId="258E3902" w:rsidR="001B1388" w:rsidRPr="0072006B" w:rsidRDefault="00265103" w:rsidP="0072006B">
      <w:pPr>
        <w:pStyle w:val="Heading1"/>
        <w:numPr>
          <w:ilvl w:val="0"/>
          <w:numId w:val="1"/>
        </w:numPr>
        <w:spacing w:after="240"/>
        <w:jc w:val="center"/>
        <w:rPr>
          <w:rFonts w:ascii="Book Antiqua" w:hAnsi="Book Antiqua"/>
          <w:caps/>
          <w:color w:val="auto"/>
          <w:sz w:val="22"/>
          <w:szCs w:val="22"/>
        </w:rPr>
      </w:pPr>
      <w:bookmarkStart w:id="3" w:name="_Toc50472646"/>
      <w:r w:rsidRPr="0072006B">
        <w:rPr>
          <w:rFonts w:ascii="Book Antiqua" w:hAnsi="Book Antiqua"/>
          <w:caps/>
          <w:color w:val="auto"/>
          <w:sz w:val="22"/>
          <w:szCs w:val="22"/>
        </w:rPr>
        <w:t xml:space="preserve">Issues </w:t>
      </w:r>
      <w:r w:rsidR="003B60D4" w:rsidRPr="0072006B">
        <w:rPr>
          <w:rFonts w:ascii="Book Antiqua" w:hAnsi="Book Antiqua"/>
          <w:caps/>
          <w:color w:val="auto"/>
          <w:sz w:val="22"/>
          <w:szCs w:val="22"/>
        </w:rPr>
        <w:t>FOR</w:t>
      </w:r>
      <w:r w:rsidRPr="0072006B">
        <w:rPr>
          <w:rFonts w:ascii="Book Antiqua" w:hAnsi="Book Antiqua"/>
          <w:caps/>
          <w:color w:val="auto"/>
          <w:sz w:val="22"/>
          <w:szCs w:val="22"/>
        </w:rPr>
        <w:t xml:space="preserve"> consideration</w:t>
      </w:r>
      <w:bookmarkEnd w:id="3"/>
    </w:p>
    <w:p w14:paraId="6164B300" w14:textId="6F7F3982" w:rsidR="00265103" w:rsidRDefault="00CD291E" w:rsidP="001B1388">
      <w:pPr>
        <w:pStyle w:val="ListParagraph"/>
        <w:numPr>
          <w:ilvl w:val="0"/>
          <w:numId w:val="3"/>
        </w:numPr>
        <w:spacing w:after="120" w:line="340" w:lineRule="atLeast"/>
        <w:ind w:left="0" w:firstLine="0"/>
        <w:contextualSpacing w:val="0"/>
        <w:jc w:val="both"/>
        <w:rPr>
          <w:rFonts w:ascii="Book Antiqua" w:hAnsi="Book Antiqua"/>
        </w:rPr>
      </w:pPr>
      <w:r w:rsidRPr="006D0D29">
        <w:rPr>
          <w:rFonts w:ascii="Book Antiqua" w:hAnsi="Book Antiqua"/>
        </w:rPr>
        <w:t>The Meeting may wish</w:t>
      </w:r>
      <w:r>
        <w:rPr>
          <w:rFonts w:ascii="Book Antiqua" w:hAnsi="Book Antiqua"/>
        </w:rPr>
        <w:t xml:space="preserve"> to invite member </w:t>
      </w:r>
      <w:r w:rsidR="00BE6970">
        <w:rPr>
          <w:rFonts w:ascii="Book Antiqua" w:hAnsi="Book Antiqua"/>
        </w:rPr>
        <w:t>States</w:t>
      </w:r>
      <w:r>
        <w:rPr>
          <w:rFonts w:ascii="Book Antiqua" w:hAnsi="Book Antiqua"/>
        </w:rPr>
        <w:t xml:space="preserve"> to share view</w:t>
      </w:r>
      <w:r w:rsidR="00F32FA0">
        <w:rPr>
          <w:rFonts w:ascii="Book Antiqua" w:hAnsi="Book Antiqua"/>
        </w:rPr>
        <w:t>s</w:t>
      </w:r>
      <w:r>
        <w:rPr>
          <w:rFonts w:ascii="Book Antiqua" w:hAnsi="Book Antiqua"/>
        </w:rPr>
        <w:t xml:space="preserve"> on</w:t>
      </w:r>
      <w:r w:rsidR="00636072">
        <w:rPr>
          <w:rFonts w:ascii="Book Antiqua" w:hAnsi="Book Antiqua"/>
        </w:rPr>
        <w:t xml:space="preserve"> the </w:t>
      </w:r>
      <w:r w:rsidR="00DA45F6">
        <w:rPr>
          <w:rFonts w:ascii="Book Antiqua" w:hAnsi="Book Antiqua"/>
        </w:rPr>
        <w:t>r</w:t>
      </w:r>
      <w:r w:rsidR="006945C4">
        <w:rPr>
          <w:rFonts w:ascii="Book Antiqua" w:hAnsi="Book Antiqua"/>
        </w:rPr>
        <w:t>ecommendations</w:t>
      </w:r>
      <w:r w:rsidR="0072424F">
        <w:rPr>
          <w:rFonts w:ascii="Book Antiqua" w:hAnsi="Book Antiqua"/>
        </w:rPr>
        <w:t>, and secretariat responses,</w:t>
      </w:r>
      <w:r w:rsidR="002D2046">
        <w:rPr>
          <w:rFonts w:ascii="Book Antiqua" w:hAnsi="Book Antiqua"/>
        </w:rPr>
        <w:t xml:space="preserve"> and suggest </w:t>
      </w:r>
      <w:r w:rsidR="0072424F">
        <w:rPr>
          <w:rFonts w:ascii="Book Antiqua" w:hAnsi="Book Antiqua"/>
        </w:rPr>
        <w:t xml:space="preserve">follow-up </w:t>
      </w:r>
      <w:r w:rsidR="002D2046">
        <w:rPr>
          <w:rFonts w:ascii="Book Antiqua" w:hAnsi="Book Antiqua"/>
        </w:rPr>
        <w:t xml:space="preserve">actions.  </w:t>
      </w:r>
    </w:p>
    <w:p w14:paraId="7ECE1FA4" w14:textId="632C490F" w:rsidR="0072424F" w:rsidRDefault="0072424F" w:rsidP="001B1388">
      <w:pPr>
        <w:pStyle w:val="ListParagraph"/>
        <w:numPr>
          <w:ilvl w:val="0"/>
          <w:numId w:val="3"/>
        </w:numPr>
        <w:spacing w:after="120" w:line="340" w:lineRule="atLeast"/>
        <w:ind w:left="0" w:firstLine="0"/>
        <w:contextualSpacing w:val="0"/>
        <w:jc w:val="both"/>
        <w:rPr>
          <w:rFonts w:ascii="Book Antiqua" w:hAnsi="Book Antiqua"/>
        </w:rPr>
      </w:pPr>
      <w:r>
        <w:rPr>
          <w:rFonts w:ascii="Book Antiqua" w:hAnsi="Book Antiqua"/>
        </w:rPr>
        <w:t xml:space="preserve">The Meeting may wish to decide on </w:t>
      </w:r>
      <w:r w:rsidR="00746522">
        <w:rPr>
          <w:rFonts w:ascii="Book Antiqua" w:hAnsi="Book Antiqua"/>
        </w:rPr>
        <w:t xml:space="preserve">holding </w:t>
      </w:r>
      <w:r>
        <w:rPr>
          <w:rFonts w:ascii="Book Antiqua" w:hAnsi="Book Antiqua"/>
        </w:rPr>
        <w:t xml:space="preserve">an ad hoc meeting </w:t>
      </w:r>
      <w:r w:rsidR="00746522">
        <w:rPr>
          <w:rFonts w:ascii="Book Antiqua" w:hAnsi="Book Antiqua"/>
        </w:rPr>
        <w:t xml:space="preserve">to </w:t>
      </w:r>
      <w:r w:rsidR="008C13CF">
        <w:rPr>
          <w:rFonts w:ascii="Book Antiqua" w:hAnsi="Book Antiqua"/>
        </w:rPr>
        <w:t xml:space="preserve">develop and agree on a concrete implementation plan for addressing the evaluation recommendations, including </w:t>
      </w:r>
      <w:r>
        <w:rPr>
          <w:rFonts w:ascii="Book Antiqua" w:hAnsi="Book Antiqua"/>
        </w:rPr>
        <w:t xml:space="preserve">follow-up actions </w:t>
      </w:r>
      <w:r w:rsidR="008C13CF">
        <w:rPr>
          <w:rFonts w:ascii="Book Antiqua" w:hAnsi="Book Antiqua"/>
        </w:rPr>
        <w:t>with clear responsibilities and timelines.</w:t>
      </w:r>
      <w:r>
        <w:rPr>
          <w:rFonts w:ascii="Book Antiqua" w:hAnsi="Book Antiqua"/>
        </w:rPr>
        <w:t xml:space="preserve"> </w:t>
      </w:r>
    </w:p>
    <w:p w14:paraId="38868A00" w14:textId="77777777" w:rsidR="00AE3EFE" w:rsidRPr="0080284F" w:rsidRDefault="00AE3EFE" w:rsidP="00AE3EFE">
      <w:pPr>
        <w:pStyle w:val="ListParagraph"/>
        <w:spacing w:after="120" w:line="340" w:lineRule="atLeast"/>
        <w:ind w:left="360"/>
        <w:contextualSpacing w:val="0"/>
        <w:jc w:val="center"/>
        <w:rPr>
          <w:rFonts w:ascii="Book Antiqua" w:eastAsia="SimSun" w:hAnsi="Book Antiqua" w:cs="Times New Roman"/>
        </w:rPr>
      </w:pPr>
      <w:r w:rsidRPr="0080284F">
        <w:rPr>
          <w:rFonts w:ascii="Book Antiqua" w:eastAsia="SimSun" w:hAnsi="Book Antiqua" w:cs="Times New Roman"/>
        </w:rPr>
        <w:t>……</w:t>
      </w:r>
    </w:p>
    <w:p w14:paraId="1165A65E" w14:textId="77777777" w:rsidR="006945C4" w:rsidRDefault="006945C4" w:rsidP="006945C4">
      <w:pPr>
        <w:pStyle w:val="ListParagraph"/>
        <w:spacing w:after="120" w:line="340" w:lineRule="atLeast"/>
        <w:ind w:left="0"/>
        <w:contextualSpacing w:val="0"/>
        <w:jc w:val="both"/>
        <w:rPr>
          <w:rFonts w:ascii="Book Antiqua" w:hAnsi="Book Antiqua"/>
        </w:rPr>
      </w:pPr>
    </w:p>
    <w:sectPr w:rsidR="006945C4" w:rsidSect="00203C9F">
      <w:footerReference w:type="default" r:id="rId10"/>
      <w:pgSz w:w="12240" w:h="15840"/>
      <w:pgMar w:top="1526" w:right="1411" w:bottom="1195"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FCF01" w14:textId="77777777" w:rsidR="00216E33" w:rsidRDefault="00216E33" w:rsidP="00AC2C09">
      <w:pPr>
        <w:spacing w:after="0" w:line="240" w:lineRule="auto"/>
      </w:pPr>
      <w:r>
        <w:separator/>
      </w:r>
    </w:p>
  </w:endnote>
  <w:endnote w:type="continuationSeparator" w:id="0">
    <w:p w14:paraId="2D662594" w14:textId="77777777" w:rsidR="00216E33" w:rsidRDefault="00216E33" w:rsidP="00AC2C09">
      <w:pPr>
        <w:spacing w:after="0" w:line="240" w:lineRule="auto"/>
      </w:pPr>
      <w:r>
        <w:continuationSeparator/>
      </w:r>
    </w:p>
  </w:endnote>
  <w:endnote w:type="continuationNotice" w:id="1">
    <w:p w14:paraId="4F0D764A" w14:textId="77777777" w:rsidR="00216E33" w:rsidRDefault="00216E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718981"/>
      <w:docPartObj>
        <w:docPartGallery w:val="Page Numbers (Bottom of Page)"/>
        <w:docPartUnique/>
      </w:docPartObj>
    </w:sdtPr>
    <w:sdtEndPr>
      <w:rPr>
        <w:noProof/>
      </w:rPr>
    </w:sdtEndPr>
    <w:sdtContent>
      <w:p w14:paraId="77D4D2A6" w14:textId="77777777" w:rsidR="006D6B88" w:rsidRDefault="006D6B8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AA22051" w14:textId="77777777" w:rsidR="006D6B88" w:rsidRDefault="006D6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12E3A" w14:textId="77777777" w:rsidR="00216E33" w:rsidRDefault="00216E33" w:rsidP="00AC2C09">
      <w:pPr>
        <w:spacing w:after="0" w:line="240" w:lineRule="auto"/>
      </w:pPr>
      <w:r>
        <w:separator/>
      </w:r>
    </w:p>
  </w:footnote>
  <w:footnote w:type="continuationSeparator" w:id="0">
    <w:p w14:paraId="14413DCD" w14:textId="77777777" w:rsidR="00216E33" w:rsidRDefault="00216E33" w:rsidP="00AC2C09">
      <w:pPr>
        <w:spacing w:after="0" w:line="240" w:lineRule="auto"/>
      </w:pPr>
      <w:r>
        <w:continuationSeparator/>
      </w:r>
    </w:p>
  </w:footnote>
  <w:footnote w:type="continuationNotice" w:id="1">
    <w:p w14:paraId="0123740E" w14:textId="77777777" w:rsidR="00216E33" w:rsidRDefault="00216E33">
      <w:pPr>
        <w:spacing w:after="0" w:line="240" w:lineRule="auto"/>
      </w:pPr>
    </w:p>
  </w:footnote>
  <w:footnote w:id="2">
    <w:p w14:paraId="7D38BFE0" w14:textId="7CDBA323" w:rsidR="00743497" w:rsidRDefault="00743497">
      <w:pPr>
        <w:pStyle w:val="FootnoteText"/>
        <w:rPr>
          <w:lang w:eastAsia="ko-KR"/>
        </w:rPr>
      </w:pPr>
      <w:r>
        <w:rPr>
          <w:rStyle w:val="FootnoteReference"/>
        </w:rPr>
        <w:footnoteRef/>
      </w:r>
      <w:r>
        <w:t xml:space="preserve"> </w:t>
      </w:r>
      <w:hyperlink r:id="rId1" w:history="1">
        <w:r>
          <w:rPr>
            <w:rStyle w:val="Hyperlink"/>
          </w:rPr>
          <w:t>https://www.unescap.org/sites/default/files/ESCAP-Monitoring-and-Evaluation--Policy-and-Guidelines-2017-rev-20180507.pdf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B14"/>
    <w:multiLevelType w:val="hybridMultilevel"/>
    <w:tmpl w:val="ED1E52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447938"/>
    <w:multiLevelType w:val="hybridMultilevel"/>
    <w:tmpl w:val="4B6CFCB2"/>
    <w:lvl w:ilvl="0" w:tplc="EB68A1F0">
      <w:start w:val="1"/>
      <w:numFmt w:val="upperRoman"/>
      <w:pStyle w:val="TOC2"/>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11D6B"/>
    <w:multiLevelType w:val="hybridMultilevel"/>
    <w:tmpl w:val="A058D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1E43E25"/>
    <w:multiLevelType w:val="hybridMultilevel"/>
    <w:tmpl w:val="BC269D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41679FA"/>
    <w:multiLevelType w:val="hybridMultilevel"/>
    <w:tmpl w:val="A520258E"/>
    <w:lvl w:ilvl="0" w:tplc="04090011">
      <w:start w:val="1"/>
      <w:numFmt w:val="decimal"/>
      <w:lvlText w:val="%1)"/>
      <w:lvlJc w:val="left"/>
      <w:pPr>
        <w:ind w:left="360" w:hanging="360"/>
      </w:pPr>
      <w:rPr>
        <w:b/>
        <w:color w:val="auto"/>
        <w:sz w:val="22"/>
        <w:szCs w:val="22"/>
      </w:rPr>
    </w:lvl>
    <w:lvl w:ilvl="1" w:tplc="04090019">
      <w:start w:val="1"/>
      <w:numFmt w:val="upperLetter"/>
      <w:lvlText w:val="%2."/>
      <w:lvlJc w:val="left"/>
      <w:pPr>
        <w:ind w:left="1020" w:hanging="400"/>
      </w:pPr>
    </w:lvl>
    <w:lvl w:ilvl="2" w:tplc="0409001B" w:tentative="1">
      <w:start w:val="1"/>
      <w:numFmt w:val="lowerRoman"/>
      <w:lvlText w:val="%3."/>
      <w:lvlJc w:val="right"/>
      <w:pPr>
        <w:ind w:left="1420" w:hanging="400"/>
      </w:pPr>
    </w:lvl>
    <w:lvl w:ilvl="3" w:tplc="0409000F" w:tentative="1">
      <w:start w:val="1"/>
      <w:numFmt w:val="decimal"/>
      <w:lvlText w:val="%4."/>
      <w:lvlJc w:val="left"/>
      <w:pPr>
        <w:ind w:left="1820" w:hanging="400"/>
      </w:pPr>
    </w:lvl>
    <w:lvl w:ilvl="4" w:tplc="04090019" w:tentative="1">
      <w:start w:val="1"/>
      <w:numFmt w:val="upperLetter"/>
      <w:lvlText w:val="%5."/>
      <w:lvlJc w:val="left"/>
      <w:pPr>
        <w:ind w:left="2220" w:hanging="400"/>
      </w:pPr>
    </w:lvl>
    <w:lvl w:ilvl="5" w:tplc="0409001B" w:tentative="1">
      <w:start w:val="1"/>
      <w:numFmt w:val="lowerRoman"/>
      <w:lvlText w:val="%6."/>
      <w:lvlJc w:val="right"/>
      <w:pPr>
        <w:ind w:left="2620" w:hanging="400"/>
      </w:pPr>
    </w:lvl>
    <w:lvl w:ilvl="6" w:tplc="0409000F" w:tentative="1">
      <w:start w:val="1"/>
      <w:numFmt w:val="decimal"/>
      <w:lvlText w:val="%7."/>
      <w:lvlJc w:val="left"/>
      <w:pPr>
        <w:ind w:left="3020" w:hanging="400"/>
      </w:pPr>
    </w:lvl>
    <w:lvl w:ilvl="7" w:tplc="04090019" w:tentative="1">
      <w:start w:val="1"/>
      <w:numFmt w:val="upperLetter"/>
      <w:lvlText w:val="%8."/>
      <w:lvlJc w:val="left"/>
      <w:pPr>
        <w:ind w:left="3420" w:hanging="400"/>
      </w:pPr>
    </w:lvl>
    <w:lvl w:ilvl="8" w:tplc="0409001B" w:tentative="1">
      <w:start w:val="1"/>
      <w:numFmt w:val="lowerRoman"/>
      <w:lvlText w:val="%9."/>
      <w:lvlJc w:val="right"/>
      <w:pPr>
        <w:ind w:left="3820" w:hanging="400"/>
      </w:pPr>
    </w:lvl>
  </w:abstractNum>
  <w:abstractNum w:abstractNumId="5" w15:restartNumberingAfterBreak="0">
    <w:nsid w:val="4332253F"/>
    <w:multiLevelType w:val="hybridMultilevel"/>
    <w:tmpl w:val="831E9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35283"/>
    <w:multiLevelType w:val="hybridMultilevel"/>
    <w:tmpl w:val="686EC7B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722D39"/>
    <w:multiLevelType w:val="hybridMultilevel"/>
    <w:tmpl w:val="85F0BD5C"/>
    <w:lvl w:ilvl="0" w:tplc="83887464">
      <w:start w:val="1"/>
      <w:numFmt w:val="upperRoman"/>
      <w:lvlText w:val="%1."/>
      <w:lvlJc w:val="left"/>
      <w:pPr>
        <w:ind w:left="540" w:hanging="360"/>
      </w:pPr>
      <w:rPr>
        <w:rFonts w:ascii="Book Antiqua" w:eastAsia="SimSun" w:hAnsi="Book Antiqua" w:cs="Times New Roman"/>
        <w:b/>
        <w:color w:val="auto"/>
        <w:sz w:val="22"/>
        <w:szCs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8A02C86"/>
    <w:multiLevelType w:val="hybridMultilevel"/>
    <w:tmpl w:val="A40C0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C1134BB"/>
    <w:multiLevelType w:val="hybridMultilevel"/>
    <w:tmpl w:val="22CE9DF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D54E2C"/>
    <w:multiLevelType w:val="hybridMultilevel"/>
    <w:tmpl w:val="77FA5004"/>
    <w:lvl w:ilvl="0" w:tplc="90083076">
      <w:start w:val="1"/>
      <w:numFmt w:val="decimal"/>
      <w:lvlText w:val="%1."/>
      <w:lvlJc w:val="left"/>
      <w:pPr>
        <w:ind w:left="360" w:hanging="360"/>
      </w:pPr>
      <w:rPr>
        <w:rFonts w:hint="eastAsia"/>
        <w:b w:val="0"/>
        <w:color w:val="auto"/>
        <w:sz w:val="22"/>
        <w:szCs w:val="22"/>
      </w:rPr>
    </w:lvl>
    <w:lvl w:ilvl="1" w:tplc="122A1D28">
      <w:start w:val="1"/>
      <w:numFmt w:val="lowerLetter"/>
      <w:lvlText w:val="%2)"/>
      <w:lvlJc w:val="left"/>
      <w:pPr>
        <w:ind w:left="1272" w:hanging="372"/>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7"/>
  </w:num>
  <w:num w:numId="2">
    <w:abstractNumId w:val="1"/>
  </w:num>
  <w:num w:numId="3">
    <w:abstractNumId w:val="10"/>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3"/>
  </w:num>
  <w:num w:numId="9">
    <w:abstractNumId w:val="5"/>
  </w:num>
  <w:num w:numId="10">
    <w:abstractNumId w:val="0"/>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markup="0" w:inkAnnotations="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C09"/>
    <w:rsid w:val="00002AD8"/>
    <w:rsid w:val="00010714"/>
    <w:rsid w:val="00011F3F"/>
    <w:rsid w:val="0001256C"/>
    <w:rsid w:val="000150C3"/>
    <w:rsid w:val="000158E1"/>
    <w:rsid w:val="00016EA2"/>
    <w:rsid w:val="00024671"/>
    <w:rsid w:val="000266B7"/>
    <w:rsid w:val="00032FCC"/>
    <w:rsid w:val="0003320E"/>
    <w:rsid w:val="00033286"/>
    <w:rsid w:val="000342C1"/>
    <w:rsid w:val="00034595"/>
    <w:rsid w:val="00037560"/>
    <w:rsid w:val="00050527"/>
    <w:rsid w:val="00053C34"/>
    <w:rsid w:val="00054A9B"/>
    <w:rsid w:val="00060A1D"/>
    <w:rsid w:val="000645E6"/>
    <w:rsid w:val="00067D33"/>
    <w:rsid w:val="000807BD"/>
    <w:rsid w:val="0008247F"/>
    <w:rsid w:val="000844A8"/>
    <w:rsid w:val="000849AB"/>
    <w:rsid w:val="0009007B"/>
    <w:rsid w:val="00095499"/>
    <w:rsid w:val="00095D16"/>
    <w:rsid w:val="000A6FC6"/>
    <w:rsid w:val="000B0DB2"/>
    <w:rsid w:val="000B3F63"/>
    <w:rsid w:val="000B65E3"/>
    <w:rsid w:val="000C1003"/>
    <w:rsid w:val="000C2450"/>
    <w:rsid w:val="000C58DC"/>
    <w:rsid w:val="000C7C74"/>
    <w:rsid w:val="000D00F7"/>
    <w:rsid w:val="000D2D50"/>
    <w:rsid w:val="000E2323"/>
    <w:rsid w:val="000F2FCC"/>
    <w:rsid w:val="000F560B"/>
    <w:rsid w:val="000F6182"/>
    <w:rsid w:val="001025D8"/>
    <w:rsid w:val="00105A82"/>
    <w:rsid w:val="00106789"/>
    <w:rsid w:val="001070F5"/>
    <w:rsid w:val="001079DF"/>
    <w:rsid w:val="00111EEA"/>
    <w:rsid w:val="00125586"/>
    <w:rsid w:val="001275CB"/>
    <w:rsid w:val="001337BA"/>
    <w:rsid w:val="00140E24"/>
    <w:rsid w:val="0014127F"/>
    <w:rsid w:val="00141886"/>
    <w:rsid w:val="00141C75"/>
    <w:rsid w:val="00142053"/>
    <w:rsid w:val="001424E0"/>
    <w:rsid w:val="001470FB"/>
    <w:rsid w:val="00152B2A"/>
    <w:rsid w:val="00156C15"/>
    <w:rsid w:val="00157CA6"/>
    <w:rsid w:val="001620DF"/>
    <w:rsid w:val="0016331B"/>
    <w:rsid w:val="00165947"/>
    <w:rsid w:val="00165DDF"/>
    <w:rsid w:val="001676ED"/>
    <w:rsid w:val="00167FCB"/>
    <w:rsid w:val="00181CA5"/>
    <w:rsid w:val="001910B3"/>
    <w:rsid w:val="0019696A"/>
    <w:rsid w:val="00196DB3"/>
    <w:rsid w:val="00197F3D"/>
    <w:rsid w:val="001A1DC3"/>
    <w:rsid w:val="001A1F07"/>
    <w:rsid w:val="001A2106"/>
    <w:rsid w:val="001A3238"/>
    <w:rsid w:val="001A3F93"/>
    <w:rsid w:val="001A5B4F"/>
    <w:rsid w:val="001A70CE"/>
    <w:rsid w:val="001B1388"/>
    <w:rsid w:val="001B3A58"/>
    <w:rsid w:val="001B52F7"/>
    <w:rsid w:val="001B53E1"/>
    <w:rsid w:val="001B6668"/>
    <w:rsid w:val="001C1477"/>
    <w:rsid w:val="001C44DD"/>
    <w:rsid w:val="001C71DC"/>
    <w:rsid w:val="001D417A"/>
    <w:rsid w:val="001D7696"/>
    <w:rsid w:val="001E3CD3"/>
    <w:rsid w:val="001E4706"/>
    <w:rsid w:val="001E565C"/>
    <w:rsid w:val="001E71B5"/>
    <w:rsid w:val="001F1703"/>
    <w:rsid w:val="001F3A8F"/>
    <w:rsid w:val="001F42E2"/>
    <w:rsid w:val="00201010"/>
    <w:rsid w:val="002020E0"/>
    <w:rsid w:val="00202F2D"/>
    <w:rsid w:val="00203C9F"/>
    <w:rsid w:val="002105B6"/>
    <w:rsid w:val="00214172"/>
    <w:rsid w:val="00216E33"/>
    <w:rsid w:val="002266E1"/>
    <w:rsid w:val="00240F82"/>
    <w:rsid w:val="00241734"/>
    <w:rsid w:val="002417CD"/>
    <w:rsid w:val="002455A3"/>
    <w:rsid w:val="00250D6D"/>
    <w:rsid w:val="00250E45"/>
    <w:rsid w:val="00260B7A"/>
    <w:rsid w:val="0026264B"/>
    <w:rsid w:val="00265103"/>
    <w:rsid w:val="00265D99"/>
    <w:rsid w:val="00275F78"/>
    <w:rsid w:val="00277285"/>
    <w:rsid w:val="00280D7A"/>
    <w:rsid w:val="00280E9F"/>
    <w:rsid w:val="002823EB"/>
    <w:rsid w:val="00286CF4"/>
    <w:rsid w:val="00287D31"/>
    <w:rsid w:val="00290472"/>
    <w:rsid w:val="002A1592"/>
    <w:rsid w:val="002A15CF"/>
    <w:rsid w:val="002A3724"/>
    <w:rsid w:val="002A49EC"/>
    <w:rsid w:val="002B0D42"/>
    <w:rsid w:val="002B6DB2"/>
    <w:rsid w:val="002C25C1"/>
    <w:rsid w:val="002C271B"/>
    <w:rsid w:val="002D19EF"/>
    <w:rsid w:val="002D1FB6"/>
    <w:rsid w:val="002D2046"/>
    <w:rsid w:val="002D6351"/>
    <w:rsid w:val="002D66EB"/>
    <w:rsid w:val="002E2B3D"/>
    <w:rsid w:val="002E5596"/>
    <w:rsid w:val="002E6079"/>
    <w:rsid w:val="002E6FB9"/>
    <w:rsid w:val="002F102E"/>
    <w:rsid w:val="002F1467"/>
    <w:rsid w:val="002F30EC"/>
    <w:rsid w:val="002F4D03"/>
    <w:rsid w:val="0030058C"/>
    <w:rsid w:val="00301BE0"/>
    <w:rsid w:val="003066A8"/>
    <w:rsid w:val="00310D58"/>
    <w:rsid w:val="00310FA3"/>
    <w:rsid w:val="0031501D"/>
    <w:rsid w:val="00315BD9"/>
    <w:rsid w:val="0031652E"/>
    <w:rsid w:val="0032030F"/>
    <w:rsid w:val="00320953"/>
    <w:rsid w:val="00324453"/>
    <w:rsid w:val="003252B8"/>
    <w:rsid w:val="00330CAC"/>
    <w:rsid w:val="00331047"/>
    <w:rsid w:val="00334923"/>
    <w:rsid w:val="00337D91"/>
    <w:rsid w:val="003479D5"/>
    <w:rsid w:val="00356C7C"/>
    <w:rsid w:val="00360BE4"/>
    <w:rsid w:val="00361747"/>
    <w:rsid w:val="00364E0F"/>
    <w:rsid w:val="003701BF"/>
    <w:rsid w:val="00370ADD"/>
    <w:rsid w:val="00373754"/>
    <w:rsid w:val="003748FC"/>
    <w:rsid w:val="00376171"/>
    <w:rsid w:val="00380463"/>
    <w:rsid w:val="00382C66"/>
    <w:rsid w:val="00384C83"/>
    <w:rsid w:val="0038601D"/>
    <w:rsid w:val="00393A5D"/>
    <w:rsid w:val="0039486D"/>
    <w:rsid w:val="00396A23"/>
    <w:rsid w:val="003A2B3C"/>
    <w:rsid w:val="003A3E8E"/>
    <w:rsid w:val="003A5245"/>
    <w:rsid w:val="003A6B4C"/>
    <w:rsid w:val="003B17AC"/>
    <w:rsid w:val="003B5E38"/>
    <w:rsid w:val="003B60D4"/>
    <w:rsid w:val="003C161C"/>
    <w:rsid w:val="003C3F70"/>
    <w:rsid w:val="003C487E"/>
    <w:rsid w:val="003C591B"/>
    <w:rsid w:val="003D5ACE"/>
    <w:rsid w:val="003D63B8"/>
    <w:rsid w:val="003E5BA5"/>
    <w:rsid w:val="003F144B"/>
    <w:rsid w:val="00401FA3"/>
    <w:rsid w:val="004047F7"/>
    <w:rsid w:val="0040562B"/>
    <w:rsid w:val="004061EF"/>
    <w:rsid w:val="00407DA1"/>
    <w:rsid w:val="00414F56"/>
    <w:rsid w:val="00417C40"/>
    <w:rsid w:val="004245DA"/>
    <w:rsid w:val="00424859"/>
    <w:rsid w:val="00427568"/>
    <w:rsid w:val="004364B6"/>
    <w:rsid w:val="004367E1"/>
    <w:rsid w:val="00437FC1"/>
    <w:rsid w:val="004517F5"/>
    <w:rsid w:val="004522C8"/>
    <w:rsid w:val="00453949"/>
    <w:rsid w:val="00454930"/>
    <w:rsid w:val="00461BC5"/>
    <w:rsid w:val="00461DAF"/>
    <w:rsid w:val="00462E9A"/>
    <w:rsid w:val="0046335D"/>
    <w:rsid w:val="00472AC7"/>
    <w:rsid w:val="004737AF"/>
    <w:rsid w:val="00475636"/>
    <w:rsid w:val="00476BB4"/>
    <w:rsid w:val="00477178"/>
    <w:rsid w:val="0048331A"/>
    <w:rsid w:val="00483FDC"/>
    <w:rsid w:val="00484F90"/>
    <w:rsid w:val="00490C39"/>
    <w:rsid w:val="004A1334"/>
    <w:rsid w:val="004A7719"/>
    <w:rsid w:val="004A7908"/>
    <w:rsid w:val="004B1324"/>
    <w:rsid w:val="004B1EDB"/>
    <w:rsid w:val="004B4CB8"/>
    <w:rsid w:val="004B5F5B"/>
    <w:rsid w:val="004C1434"/>
    <w:rsid w:val="004C35D7"/>
    <w:rsid w:val="004C6D2F"/>
    <w:rsid w:val="004E2B27"/>
    <w:rsid w:val="004E457A"/>
    <w:rsid w:val="004E7A5B"/>
    <w:rsid w:val="004F0D48"/>
    <w:rsid w:val="004F23A1"/>
    <w:rsid w:val="004F57F4"/>
    <w:rsid w:val="00502309"/>
    <w:rsid w:val="00507373"/>
    <w:rsid w:val="00507DB9"/>
    <w:rsid w:val="005120D9"/>
    <w:rsid w:val="005126A1"/>
    <w:rsid w:val="00516384"/>
    <w:rsid w:val="00520054"/>
    <w:rsid w:val="00520E88"/>
    <w:rsid w:val="00521098"/>
    <w:rsid w:val="005219D1"/>
    <w:rsid w:val="00521CC6"/>
    <w:rsid w:val="005273B5"/>
    <w:rsid w:val="00530CA7"/>
    <w:rsid w:val="0053736C"/>
    <w:rsid w:val="00537956"/>
    <w:rsid w:val="00540B53"/>
    <w:rsid w:val="005419F7"/>
    <w:rsid w:val="005470B9"/>
    <w:rsid w:val="005528FB"/>
    <w:rsid w:val="00563E35"/>
    <w:rsid w:val="005645D9"/>
    <w:rsid w:val="00566E0E"/>
    <w:rsid w:val="00572521"/>
    <w:rsid w:val="0058034A"/>
    <w:rsid w:val="00583487"/>
    <w:rsid w:val="00585438"/>
    <w:rsid w:val="00586292"/>
    <w:rsid w:val="00596903"/>
    <w:rsid w:val="00597049"/>
    <w:rsid w:val="005A1D52"/>
    <w:rsid w:val="005A3348"/>
    <w:rsid w:val="005B1055"/>
    <w:rsid w:val="005B307D"/>
    <w:rsid w:val="005B6B64"/>
    <w:rsid w:val="005D24E2"/>
    <w:rsid w:val="005D385A"/>
    <w:rsid w:val="005D42CB"/>
    <w:rsid w:val="005D52F6"/>
    <w:rsid w:val="005D5EC5"/>
    <w:rsid w:val="005E05A9"/>
    <w:rsid w:val="005E0AC3"/>
    <w:rsid w:val="005E38DD"/>
    <w:rsid w:val="005E59EB"/>
    <w:rsid w:val="005E62AE"/>
    <w:rsid w:val="005E7EC0"/>
    <w:rsid w:val="005F0714"/>
    <w:rsid w:val="005F4B52"/>
    <w:rsid w:val="005F5AE0"/>
    <w:rsid w:val="005F778C"/>
    <w:rsid w:val="0060182A"/>
    <w:rsid w:val="00603F41"/>
    <w:rsid w:val="006074E4"/>
    <w:rsid w:val="00616B70"/>
    <w:rsid w:val="00617598"/>
    <w:rsid w:val="00617767"/>
    <w:rsid w:val="00617F4C"/>
    <w:rsid w:val="00623C1C"/>
    <w:rsid w:val="006245D9"/>
    <w:rsid w:val="00627C14"/>
    <w:rsid w:val="00636072"/>
    <w:rsid w:val="00636221"/>
    <w:rsid w:val="00636A69"/>
    <w:rsid w:val="00644214"/>
    <w:rsid w:val="00646BB0"/>
    <w:rsid w:val="00650CA0"/>
    <w:rsid w:val="0065359E"/>
    <w:rsid w:val="0067075E"/>
    <w:rsid w:val="00672D51"/>
    <w:rsid w:val="00673442"/>
    <w:rsid w:val="006818DA"/>
    <w:rsid w:val="00682372"/>
    <w:rsid w:val="00685B53"/>
    <w:rsid w:val="006945C4"/>
    <w:rsid w:val="006A31AB"/>
    <w:rsid w:val="006A51D1"/>
    <w:rsid w:val="006B016A"/>
    <w:rsid w:val="006B49A6"/>
    <w:rsid w:val="006B562F"/>
    <w:rsid w:val="006C0902"/>
    <w:rsid w:val="006C2E81"/>
    <w:rsid w:val="006D0D29"/>
    <w:rsid w:val="006D2249"/>
    <w:rsid w:val="006D6B88"/>
    <w:rsid w:val="006E5480"/>
    <w:rsid w:val="006F3B82"/>
    <w:rsid w:val="006F4F59"/>
    <w:rsid w:val="006F6D03"/>
    <w:rsid w:val="0070135E"/>
    <w:rsid w:val="00702DA3"/>
    <w:rsid w:val="00704B7F"/>
    <w:rsid w:val="00705F0B"/>
    <w:rsid w:val="007060F9"/>
    <w:rsid w:val="00710287"/>
    <w:rsid w:val="00713B41"/>
    <w:rsid w:val="00713C8A"/>
    <w:rsid w:val="00714BF8"/>
    <w:rsid w:val="007164E3"/>
    <w:rsid w:val="00717D95"/>
    <w:rsid w:val="0072006B"/>
    <w:rsid w:val="0072358F"/>
    <w:rsid w:val="0072424F"/>
    <w:rsid w:val="00725D43"/>
    <w:rsid w:val="0072621B"/>
    <w:rsid w:val="00730A5B"/>
    <w:rsid w:val="00732A81"/>
    <w:rsid w:val="00733858"/>
    <w:rsid w:val="007372F1"/>
    <w:rsid w:val="007378CF"/>
    <w:rsid w:val="007405ED"/>
    <w:rsid w:val="00743497"/>
    <w:rsid w:val="00746369"/>
    <w:rsid w:val="00746522"/>
    <w:rsid w:val="00750D70"/>
    <w:rsid w:val="007539F0"/>
    <w:rsid w:val="0075591D"/>
    <w:rsid w:val="007578E7"/>
    <w:rsid w:val="0076063C"/>
    <w:rsid w:val="007656BA"/>
    <w:rsid w:val="007703C8"/>
    <w:rsid w:val="0077238F"/>
    <w:rsid w:val="00774AC8"/>
    <w:rsid w:val="00775A65"/>
    <w:rsid w:val="00780A73"/>
    <w:rsid w:val="00792BCB"/>
    <w:rsid w:val="00792D31"/>
    <w:rsid w:val="007931E3"/>
    <w:rsid w:val="00796E2C"/>
    <w:rsid w:val="007A0EFA"/>
    <w:rsid w:val="007B106E"/>
    <w:rsid w:val="007B6956"/>
    <w:rsid w:val="007C29DD"/>
    <w:rsid w:val="007C3BAC"/>
    <w:rsid w:val="007C503F"/>
    <w:rsid w:val="007C6A27"/>
    <w:rsid w:val="007D1CA0"/>
    <w:rsid w:val="007D3ECB"/>
    <w:rsid w:val="007D6488"/>
    <w:rsid w:val="007D69E6"/>
    <w:rsid w:val="007D7230"/>
    <w:rsid w:val="007D7D87"/>
    <w:rsid w:val="007E04C2"/>
    <w:rsid w:val="007E2F8D"/>
    <w:rsid w:val="007E4706"/>
    <w:rsid w:val="007F0D6F"/>
    <w:rsid w:val="0080015A"/>
    <w:rsid w:val="00801025"/>
    <w:rsid w:val="0080171B"/>
    <w:rsid w:val="00804916"/>
    <w:rsid w:val="00805140"/>
    <w:rsid w:val="008053EF"/>
    <w:rsid w:val="008064BB"/>
    <w:rsid w:val="0081166E"/>
    <w:rsid w:val="00812819"/>
    <w:rsid w:val="008136BB"/>
    <w:rsid w:val="00831A2F"/>
    <w:rsid w:val="00832A74"/>
    <w:rsid w:val="008358D5"/>
    <w:rsid w:val="00835985"/>
    <w:rsid w:val="00835A3E"/>
    <w:rsid w:val="0083655A"/>
    <w:rsid w:val="00837B3F"/>
    <w:rsid w:val="00837B92"/>
    <w:rsid w:val="00843764"/>
    <w:rsid w:val="00844723"/>
    <w:rsid w:val="008475F2"/>
    <w:rsid w:val="00850EF0"/>
    <w:rsid w:val="00851AA8"/>
    <w:rsid w:val="008538AF"/>
    <w:rsid w:val="008539B2"/>
    <w:rsid w:val="00853F54"/>
    <w:rsid w:val="0085509F"/>
    <w:rsid w:val="008555C5"/>
    <w:rsid w:val="0085563E"/>
    <w:rsid w:val="00862CAE"/>
    <w:rsid w:val="008662D8"/>
    <w:rsid w:val="00870669"/>
    <w:rsid w:val="00870971"/>
    <w:rsid w:val="008810D4"/>
    <w:rsid w:val="008841CE"/>
    <w:rsid w:val="008870FE"/>
    <w:rsid w:val="00892676"/>
    <w:rsid w:val="00894845"/>
    <w:rsid w:val="00897931"/>
    <w:rsid w:val="008A0C86"/>
    <w:rsid w:val="008A12FB"/>
    <w:rsid w:val="008A7388"/>
    <w:rsid w:val="008C03BE"/>
    <w:rsid w:val="008C0F72"/>
    <w:rsid w:val="008C13CF"/>
    <w:rsid w:val="008C3544"/>
    <w:rsid w:val="008C3949"/>
    <w:rsid w:val="008C4BA6"/>
    <w:rsid w:val="008C7139"/>
    <w:rsid w:val="008D46F9"/>
    <w:rsid w:val="008D5FD2"/>
    <w:rsid w:val="008D7AC7"/>
    <w:rsid w:val="008F0631"/>
    <w:rsid w:val="008F0E81"/>
    <w:rsid w:val="008F1A12"/>
    <w:rsid w:val="008F33F5"/>
    <w:rsid w:val="008F3D75"/>
    <w:rsid w:val="008F7D8A"/>
    <w:rsid w:val="00902E06"/>
    <w:rsid w:val="009034C4"/>
    <w:rsid w:val="009056F7"/>
    <w:rsid w:val="0090599B"/>
    <w:rsid w:val="00910193"/>
    <w:rsid w:val="009107E5"/>
    <w:rsid w:val="00923E2E"/>
    <w:rsid w:val="009253FC"/>
    <w:rsid w:val="00926244"/>
    <w:rsid w:val="00926537"/>
    <w:rsid w:val="00934566"/>
    <w:rsid w:val="00937D59"/>
    <w:rsid w:val="00940C39"/>
    <w:rsid w:val="009433E8"/>
    <w:rsid w:val="00943D74"/>
    <w:rsid w:val="00944EE1"/>
    <w:rsid w:val="00945FFB"/>
    <w:rsid w:val="009509BB"/>
    <w:rsid w:val="00951A2D"/>
    <w:rsid w:val="009603AC"/>
    <w:rsid w:val="0096265D"/>
    <w:rsid w:val="00965EDF"/>
    <w:rsid w:val="009663AC"/>
    <w:rsid w:val="00971226"/>
    <w:rsid w:val="0097134F"/>
    <w:rsid w:val="009728C4"/>
    <w:rsid w:val="00977E24"/>
    <w:rsid w:val="009849C0"/>
    <w:rsid w:val="00984EC5"/>
    <w:rsid w:val="0098773E"/>
    <w:rsid w:val="00992A95"/>
    <w:rsid w:val="00994E1C"/>
    <w:rsid w:val="009A0DF2"/>
    <w:rsid w:val="009A261F"/>
    <w:rsid w:val="009A5767"/>
    <w:rsid w:val="009A5F37"/>
    <w:rsid w:val="009B143B"/>
    <w:rsid w:val="009B39FC"/>
    <w:rsid w:val="009C5389"/>
    <w:rsid w:val="009C70F0"/>
    <w:rsid w:val="009D0473"/>
    <w:rsid w:val="009D2440"/>
    <w:rsid w:val="009E3A8B"/>
    <w:rsid w:val="009E4625"/>
    <w:rsid w:val="009E6E36"/>
    <w:rsid w:val="009E7513"/>
    <w:rsid w:val="009F0E8A"/>
    <w:rsid w:val="009F4810"/>
    <w:rsid w:val="009F5E0A"/>
    <w:rsid w:val="00A00A49"/>
    <w:rsid w:val="00A03781"/>
    <w:rsid w:val="00A04461"/>
    <w:rsid w:val="00A069CD"/>
    <w:rsid w:val="00A0757C"/>
    <w:rsid w:val="00A143BE"/>
    <w:rsid w:val="00A16C00"/>
    <w:rsid w:val="00A2541B"/>
    <w:rsid w:val="00A25F49"/>
    <w:rsid w:val="00A30268"/>
    <w:rsid w:val="00A308E9"/>
    <w:rsid w:val="00A3254B"/>
    <w:rsid w:val="00A34DAC"/>
    <w:rsid w:val="00A362F7"/>
    <w:rsid w:val="00A413E6"/>
    <w:rsid w:val="00A4240B"/>
    <w:rsid w:val="00A47A6C"/>
    <w:rsid w:val="00A51E5F"/>
    <w:rsid w:val="00A555F4"/>
    <w:rsid w:val="00A55A88"/>
    <w:rsid w:val="00A57E73"/>
    <w:rsid w:val="00A62605"/>
    <w:rsid w:val="00A71B41"/>
    <w:rsid w:val="00A72A16"/>
    <w:rsid w:val="00A778F7"/>
    <w:rsid w:val="00A80AE7"/>
    <w:rsid w:val="00A81420"/>
    <w:rsid w:val="00A84CF1"/>
    <w:rsid w:val="00A8632D"/>
    <w:rsid w:val="00A87C4F"/>
    <w:rsid w:val="00A9340D"/>
    <w:rsid w:val="00A94728"/>
    <w:rsid w:val="00A9486A"/>
    <w:rsid w:val="00AA1073"/>
    <w:rsid w:val="00AA1628"/>
    <w:rsid w:val="00AA2AA0"/>
    <w:rsid w:val="00AA5C1A"/>
    <w:rsid w:val="00AC127B"/>
    <w:rsid w:val="00AC2C09"/>
    <w:rsid w:val="00AC30C8"/>
    <w:rsid w:val="00AC3649"/>
    <w:rsid w:val="00AC6017"/>
    <w:rsid w:val="00AC6D21"/>
    <w:rsid w:val="00AC6D49"/>
    <w:rsid w:val="00AC7CFC"/>
    <w:rsid w:val="00AE0243"/>
    <w:rsid w:val="00AE0442"/>
    <w:rsid w:val="00AE258D"/>
    <w:rsid w:val="00AE2ADC"/>
    <w:rsid w:val="00AE3EFE"/>
    <w:rsid w:val="00AE738D"/>
    <w:rsid w:val="00AF003E"/>
    <w:rsid w:val="00AF079D"/>
    <w:rsid w:val="00AF239D"/>
    <w:rsid w:val="00AF2A6B"/>
    <w:rsid w:val="00AF3544"/>
    <w:rsid w:val="00AF3602"/>
    <w:rsid w:val="00AF36B6"/>
    <w:rsid w:val="00B02592"/>
    <w:rsid w:val="00B02C61"/>
    <w:rsid w:val="00B04EE3"/>
    <w:rsid w:val="00B072AA"/>
    <w:rsid w:val="00B0775A"/>
    <w:rsid w:val="00B11024"/>
    <w:rsid w:val="00B152D3"/>
    <w:rsid w:val="00B215A3"/>
    <w:rsid w:val="00B22CE1"/>
    <w:rsid w:val="00B241F3"/>
    <w:rsid w:val="00B24247"/>
    <w:rsid w:val="00B27A0B"/>
    <w:rsid w:val="00B30123"/>
    <w:rsid w:val="00B3076A"/>
    <w:rsid w:val="00B30905"/>
    <w:rsid w:val="00B32BFE"/>
    <w:rsid w:val="00B34A33"/>
    <w:rsid w:val="00B350A8"/>
    <w:rsid w:val="00B37ADD"/>
    <w:rsid w:val="00B4038D"/>
    <w:rsid w:val="00B41E19"/>
    <w:rsid w:val="00B47EE7"/>
    <w:rsid w:val="00B50C64"/>
    <w:rsid w:val="00B57561"/>
    <w:rsid w:val="00B636DA"/>
    <w:rsid w:val="00B65E40"/>
    <w:rsid w:val="00B66CC2"/>
    <w:rsid w:val="00B71940"/>
    <w:rsid w:val="00B73249"/>
    <w:rsid w:val="00B744B9"/>
    <w:rsid w:val="00B751F2"/>
    <w:rsid w:val="00B75F11"/>
    <w:rsid w:val="00B7683F"/>
    <w:rsid w:val="00B7777A"/>
    <w:rsid w:val="00B81D78"/>
    <w:rsid w:val="00B82164"/>
    <w:rsid w:val="00B83D43"/>
    <w:rsid w:val="00B87EB0"/>
    <w:rsid w:val="00B9403D"/>
    <w:rsid w:val="00B94FC3"/>
    <w:rsid w:val="00B95CC4"/>
    <w:rsid w:val="00BA3CC8"/>
    <w:rsid w:val="00BA4D51"/>
    <w:rsid w:val="00BB74CB"/>
    <w:rsid w:val="00BE5570"/>
    <w:rsid w:val="00BE6970"/>
    <w:rsid w:val="00BE7610"/>
    <w:rsid w:val="00BE7C54"/>
    <w:rsid w:val="00BF1E4E"/>
    <w:rsid w:val="00BF2071"/>
    <w:rsid w:val="00BF2ACA"/>
    <w:rsid w:val="00BF404B"/>
    <w:rsid w:val="00BF4FB0"/>
    <w:rsid w:val="00C00C13"/>
    <w:rsid w:val="00C02D0F"/>
    <w:rsid w:val="00C04BEA"/>
    <w:rsid w:val="00C057FC"/>
    <w:rsid w:val="00C064F3"/>
    <w:rsid w:val="00C10F40"/>
    <w:rsid w:val="00C1132C"/>
    <w:rsid w:val="00C13873"/>
    <w:rsid w:val="00C16574"/>
    <w:rsid w:val="00C16C61"/>
    <w:rsid w:val="00C1778B"/>
    <w:rsid w:val="00C20D0F"/>
    <w:rsid w:val="00C212FC"/>
    <w:rsid w:val="00C24F30"/>
    <w:rsid w:val="00C253BC"/>
    <w:rsid w:val="00C30A87"/>
    <w:rsid w:val="00C3486F"/>
    <w:rsid w:val="00C379D0"/>
    <w:rsid w:val="00C42C09"/>
    <w:rsid w:val="00C43084"/>
    <w:rsid w:val="00C4470E"/>
    <w:rsid w:val="00C50FD1"/>
    <w:rsid w:val="00C518D6"/>
    <w:rsid w:val="00C52DFA"/>
    <w:rsid w:val="00C541B3"/>
    <w:rsid w:val="00C54B69"/>
    <w:rsid w:val="00C55FFB"/>
    <w:rsid w:val="00C561D2"/>
    <w:rsid w:val="00C56E94"/>
    <w:rsid w:val="00C60686"/>
    <w:rsid w:val="00C64507"/>
    <w:rsid w:val="00C67F8A"/>
    <w:rsid w:val="00C73B05"/>
    <w:rsid w:val="00C7751D"/>
    <w:rsid w:val="00C94DAD"/>
    <w:rsid w:val="00C95DC5"/>
    <w:rsid w:val="00C9621A"/>
    <w:rsid w:val="00C96BEA"/>
    <w:rsid w:val="00C97266"/>
    <w:rsid w:val="00CA56F0"/>
    <w:rsid w:val="00CA61DC"/>
    <w:rsid w:val="00CA6BAF"/>
    <w:rsid w:val="00CB043F"/>
    <w:rsid w:val="00CB3751"/>
    <w:rsid w:val="00CB7196"/>
    <w:rsid w:val="00CC5373"/>
    <w:rsid w:val="00CC592D"/>
    <w:rsid w:val="00CC69FC"/>
    <w:rsid w:val="00CC78E5"/>
    <w:rsid w:val="00CD1CE0"/>
    <w:rsid w:val="00CD291E"/>
    <w:rsid w:val="00CD3083"/>
    <w:rsid w:val="00CD3ED3"/>
    <w:rsid w:val="00CD53AA"/>
    <w:rsid w:val="00CD7942"/>
    <w:rsid w:val="00CE3F59"/>
    <w:rsid w:val="00CF03D2"/>
    <w:rsid w:val="00CF1740"/>
    <w:rsid w:val="00D00964"/>
    <w:rsid w:val="00D00A04"/>
    <w:rsid w:val="00D0115A"/>
    <w:rsid w:val="00D06F6E"/>
    <w:rsid w:val="00D10E8D"/>
    <w:rsid w:val="00D13CD6"/>
    <w:rsid w:val="00D16D32"/>
    <w:rsid w:val="00D172DC"/>
    <w:rsid w:val="00D240B1"/>
    <w:rsid w:val="00D2534D"/>
    <w:rsid w:val="00D26F0D"/>
    <w:rsid w:val="00D30AAD"/>
    <w:rsid w:val="00D34242"/>
    <w:rsid w:val="00D34D1D"/>
    <w:rsid w:val="00D40891"/>
    <w:rsid w:val="00D44CC3"/>
    <w:rsid w:val="00D45EEA"/>
    <w:rsid w:val="00D46585"/>
    <w:rsid w:val="00D51707"/>
    <w:rsid w:val="00D547C1"/>
    <w:rsid w:val="00D55ED9"/>
    <w:rsid w:val="00D563A8"/>
    <w:rsid w:val="00D6133C"/>
    <w:rsid w:val="00D61C4A"/>
    <w:rsid w:val="00D62F47"/>
    <w:rsid w:val="00D709C3"/>
    <w:rsid w:val="00D7475F"/>
    <w:rsid w:val="00D7567A"/>
    <w:rsid w:val="00D77B3C"/>
    <w:rsid w:val="00D8075D"/>
    <w:rsid w:val="00D83641"/>
    <w:rsid w:val="00D84A59"/>
    <w:rsid w:val="00D86B02"/>
    <w:rsid w:val="00D91402"/>
    <w:rsid w:val="00D93246"/>
    <w:rsid w:val="00D973FB"/>
    <w:rsid w:val="00D97653"/>
    <w:rsid w:val="00DA18F8"/>
    <w:rsid w:val="00DA2F4B"/>
    <w:rsid w:val="00DA45F6"/>
    <w:rsid w:val="00DA4E12"/>
    <w:rsid w:val="00DA7B0C"/>
    <w:rsid w:val="00DB3D6F"/>
    <w:rsid w:val="00DC0724"/>
    <w:rsid w:val="00DC29F5"/>
    <w:rsid w:val="00DC2E5F"/>
    <w:rsid w:val="00DC76B7"/>
    <w:rsid w:val="00DD0A35"/>
    <w:rsid w:val="00DD14F3"/>
    <w:rsid w:val="00DD4597"/>
    <w:rsid w:val="00DD598B"/>
    <w:rsid w:val="00DD656B"/>
    <w:rsid w:val="00DD6855"/>
    <w:rsid w:val="00DD6FC5"/>
    <w:rsid w:val="00DE28E3"/>
    <w:rsid w:val="00DE395B"/>
    <w:rsid w:val="00DE606A"/>
    <w:rsid w:val="00DE7E60"/>
    <w:rsid w:val="00DF158B"/>
    <w:rsid w:val="00DF7AA2"/>
    <w:rsid w:val="00E01685"/>
    <w:rsid w:val="00E108C6"/>
    <w:rsid w:val="00E121AD"/>
    <w:rsid w:val="00E21CA9"/>
    <w:rsid w:val="00E258C1"/>
    <w:rsid w:val="00E26F40"/>
    <w:rsid w:val="00E27D99"/>
    <w:rsid w:val="00E32408"/>
    <w:rsid w:val="00E32468"/>
    <w:rsid w:val="00E347EB"/>
    <w:rsid w:val="00E3586D"/>
    <w:rsid w:val="00E35E47"/>
    <w:rsid w:val="00E3741A"/>
    <w:rsid w:val="00E43686"/>
    <w:rsid w:val="00E46843"/>
    <w:rsid w:val="00E47FCD"/>
    <w:rsid w:val="00E51AF8"/>
    <w:rsid w:val="00E5645C"/>
    <w:rsid w:val="00E661F6"/>
    <w:rsid w:val="00E715AE"/>
    <w:rsid w:val="00E7589D"/>
    <w:rsid w:val="00E80FEA"/>
    <w:rsid w:val="00E82267"/>
    <w:rsid w:val="00E8545A"/>
    <w:rsid w:val="00E8793C"/>
    <w:rsid w:val="00E90B52"/>
    <w:rsid w:val="00E91445"/>
    <w:rsid w:val="00E92B47"/>
    <w:rsid w:val="00E94ACC"/>
    <w:rsid w:val="00E96C81"/>
    <w:rsid w:val="00EA4973"/>
    <w:rsid w:val="00EA6236"/>
    <w:rsid w:val="00EA667A"/>
    <w:rsid w:val="00EA7A44"/>
    <w:rsid w:val="00EB1E89"/>
    <w:rsid w:val="00EB7CDE"/>
    <w:rsid w:val="00EC0A69"/>
    <w:rsid w:val="00ED2795"/>
    <w:rsid w:val="00ED30FC"/>
    <w:rsid w:val="00ED3CEF"/>
    <w:rsid w:val="00ED4776"/>
    <w:rsid w:val="00ED5537"/>
    <w:rsid w:val="00EE295B"/>
    <w:rsid w:val="00EE30CF"/>
    <w:rsid w:val="00EE466C"/>
    <w:rsid w:val="00EE5C86"/>
    <w:rsid w:val="00EF13E4"/>
    <w:rsid w:val="00EF7CC1"/>
    <w:rsid w:val="00F0132C"/>
    <w:rsid w:val="00F069DA"/>
    <w:rsid w:val="00F20602"/>
    <w:rsid w:val="00F2167B"/>
    <w:rsid w:val="00F2327E"/>
    <w:rsid w:val="00F2422F"/>
    <w:rsid w:val="00F259DC"/>
    <w:rsid w:val="00F32FA0"/>
    <w:rsid w:val="00F35271"/>
    <w:rsid w:val="00F36F3D"/>
    <w:rsid w:val="00F37687"/>
    <w:rsid w:val="00F40BF1"/>
    <w:rsid w:val="00F4434A"/>
    <w:rsid w:val="00F45E74"/>
    <w:rsid w:val="00F47199"/>
    <w:rsid w:val="00F50388"/>
    <w:rsid w:val="00F52B0F"/>
    <w:rsid w:val="00F57069"/>
    <w:rsid w:val="00F60FF6"/>
    <w:rsid w:val="00F6514D"/>
    <w:rsid w:val="00F66405"/>
    <w:rsid w:val="00F73B01"/>
    <w:rsid w:val="00F86268"/>
    <w:rsid w:val="00F908E7"/>
    <w:rsid w:val="00F9090D"/>
    <w:rsid w:val="00F937A7"/>
    <w:rsid w:val="00F93830"/>
    <w:rsid w:val="00F9751A"/>
    <w:rsid w:val="00F979CA"/>
    <w:rsid w:val="00FA2533"/>
    <w:rsid w:val="00FA3108"/>
    <w:rsid w:val="00FA4915"/>
    <w:rsid w:val="00FA6686"/>
    <w:rsid w:val="00FB4F18"/>
    <w:rsid w:val="00FC6091"/>
    <w:rsid w:val="00FC6437"/>
    <w:rsid w:val="00FD27F6"/>
    <w:rsid w:val="00FD3BEA"/>
    <w:rsid w:val="00FD5424"/>
    <w:rsid w:val="00FE455A"/>
    <w:rsid w:val="00FE4BA6"/>
    <w:rsid w:val="00FE52DC"/>
    <w:rsid w:val="00FE72D3"/>
    <w:rsid w:val="00FF057D"/>
    <w:rsid w:val="00FF6232"/>
    <w:rsid w:val="00FF72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4B683D"/>
  <w15:docId w15:val="{EAFBACFC-6BFB-4754-B124-40DFFC811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34A"/>
  </w:style>
  <w:style w:type="paragraph" w:styleId="Heading1">
    <w:name w:val="heading 1"/>
    <w:basedOn w:val="Normal"/>
    <w:next w:val="Normal"/>
    <w:link w:val="Heading1Char"/>
    <w:uiPriority w:val="9"/>
    <w:qFormat/>
    <w:rsid w:val="003748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F33F5"/>
    <w:pPr>
      <w:keepNext/>
      <w:spacing w:before="240" w:after="60" w:line="240" w:lineRule="auto"/>
      <w:outlineLvl w:val="1"/>
    </w:pPr>
    <w:rPr>
      <w:rFonts w:ascii="Arial" w:eastAsia="SimSun" w:hAnsi="Arial" w:cs="Arial"/>
      <w:b/>
      <w:bCs/>
      <w:i/>
      <w:iCs/>
      <w:sz w:val="28"/>
      <w:szCs w:val="28"/>
      <w:lang w:eastAsia="zh-CN"/>
    </w:rPr>
  </w:style>
  <w:style w:type="paragraph" w:styleId="Heading3">
    <w:name w:val="heading 3"/>
    <w:basedOn w:val="Normal"/>
    <w:next w:val="Normal"/>
    <w:link w:val="Heading3Char"/>
    <w:uiPriority w:val="9"/>
    <w:unhideWhenUsed/>
    <w:qFormat/>
    <w:rsid w:val="00382C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2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C2C09"/>
    <w:pPr>
      <w:ind w:left="720"/>
      <w:contextualSpacing/>
    </w:pPr>
  </w:style>
  <w:style w:type="paragraph" w:styleId="Header">
    <w:name w:val="header"/>
    <w:basedOn w:val="Normal"/>
    <w:link w:val="HeaderChar"/>
    <w:uiPriority w:val="99"/>
    <w:unhideWhenUsed/>
    <w:rsid w:val="00AC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C09"/>
  </w:style>
  <w:style w:type="paragraph" w:styleId="Footer">
    <w:name w:val="footer"/>
    <w:basedOn w:val="Normal"/>
    <w:link w:val="FooterChar"/>
    <w:uiPriority w:val="99"/>
    <w:unhideWhenUsed/>
    <w:rsid w:val="00AC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C09"/>
  </w:style>
  <w:style w:type="paragraph" w:styleId="BalloonText">
    <w:name w:val="Balloon Text"/>
    <w:basedOn w:val="Normal"/>
    <w:link w:val="BalloonTextChar"/>
    <w:uiPriority w:val="99"/>
    <w:semiHidden/>
    <w:unhideWhenUsed/>
    <w:rsid w:val="00EA6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67A"/>
    <w:rPr>
      <w:rFonts w:ascii="Tahoma" w:hAnsi="Tahoma" w:cs="Tahoma"/>
      <w:sz w:val="16"/>
      <w:szCs w:val="16"/>
    </w:rPr>
  </w:style>
  <w:style w:type="character" w:styleId="CommentReference">
    <w:name w:val="annotation reference"/>
    <w:basedOn w:val="DefaultParagraphFont"/>
    <w:uiPriority w:val="99"/>
    <w:semiHidden/>
    <w:unhideWhenUsed/>
    <w:rsid w:val="00EA667A"/>
    <w:rPr>
      <w:sz w:val="16"/>
      <w:szCs w:val="16"/>
    </w:rPr>
  </w:style>
  <w:style w:type="paragraph" w:styleId="CommentText">
    <w:name w:val="annotation text"/>
    <w:basedOn w:val="Normal"/>
    <w:link w:val="CommentTextChar"/>
    <w:uiPriority w:val="99"/>
    <w:unhideWhenUsed/>
    <w:rsid w:val="00EA667A"/>
    <w:pPr>
      <w:spacing w:line="240" w:lineRule="auto"/>
    </w:pPr>
    <w:rPr>
      <w:sz w:val="20"/>
      <w:szCs w:val="20"/>
    </w:rPr>
  </w:style>
  <w:style w:type="character" w:customStyle="1" w:styleId="CommentTextChar">
    <w:name w:val="Comment Text Char"/>
    <w:basedOn w:val="DefaultParagraphFont"/>
    <w:link w:val="CommentText"/>
    <w:uiPriority w:val="99"/>
    <w:rsid w:val="00EA667A"/>
    <w:rPr>
      <w:sz w:val="20"/>
      <w:szCs w:val="20"/>
    </w:rPr>
  </w:style>
  <w:style w:type="paragraph" w:styleId="CommentSubject">
    <w:name w:val="annotation subject"/>
    <w:basedOn w:val="CommentText"/>
    <w:next w:val="CommentText"/>
    <w:link w:val="CommentSubjectChar"/>
    <w:uiPriority w:val="99"/>
    <w:semiHidden/>
    <w:unhideWhenUsed/>
    <w:rsid w:val="00EA667A"/>
    <w:rPr>
      <w:b/>
      <w:bCs/>
    </w:rPr>
  </w:style>
  <w:style w:type="character" w:customStyle="1" w:styleId="CommentSubjectChar">
    <w:name w:val="Comment Subject Char"/>
    <w:basedOn w:val="CommentTextChar"/>
    <w:link w:val="CommentSubject"/>
    <w:uiPriority w:val="99"/>
    <w:semiHidden/>
    <w:rsid w:val="00EA667A"/>
    <w:rPr>
      <w:b/>
      <w:bCs/>
      <w:sz w:val="20"/>
      <w:szCs w:val="20"/>
    </w:rPr>
  </w:style>
  <w:style w:type="paragraph" w:styleId="Revision">
    <w:name w:val="Revision"/>
    <w:hidden/>
    <w:uiPriority w:val="99"/>
    <w:semiHidden/>
    <w:rsid w:val="00EA667A"/>
    <w:pPr>
      <w:spacing w:after="0" w:line="240" w:lineRule="auto"/>
    </w:pPr>
  </w:style>
  <w:style w:type="character" w:customStyle="1" w:styleId="apple-converted-space">
    <w:name w:val="apple-converted-space"/>
    <w:basedOn w:val="DefaultParagraphFont"/>
    <w:rsid w:val="000E2323"/>
  </w:style>
  <w:style w:type="character" w:styleId="FootnoteReference">
    <w:name w:val="footnote reference"/>
    <w:basedOn w:val="DefaultParagraphFont"/>
    <w:uiPriority w:val="99"/>
    <w:rsid w:val="00361747"/>
    <w:rPr>
      <w:rFonts w:cs="Times New Roman"/>
      <w:vertAlign w:val="superscript"/>
    </w:rPr>
  </w:style>
  <w:style w:type="paragraph" w:styleId="FootnoteText">
    <w:name w:val="footnote text"/>
    <w:basedOn w:val="Normal"/>
    <w:link w:val="FootnoteTextChar"/>
    <w:uiPriority w:val="99"/>
    <w:rsid w:val="00361747"/>
    <w:pPr>
      <w:spacing w:after="0" w:line="240" w:lineRule="auto"/>
      <w:ind w:left="187" w:hanging="187"/>
      <w:jc w:val="both"/>
    </w:pPr>
    <w:rPr>
      <w:rFonts w:ascii="Arial" w:eastAsia="Malgun Gothic" w:hAnsi="Arial" w:cs="Times New Roman"/>
      <w:color w:val="000000"/>
      <w:sz w:val="18"/>
      <w:szCs w:val="20"/>
      <w:lang w:eastAsia="en-US"/>
    </w:rPr>
  </w:style>
  <w:style w:type="character" w:customStyle="1" w:styleId="FootnoteTextChar">
    <w:name w:val="Footnote Text Char"/>
    <w:basedOn w:val="DefaultParagraphFont"/>
    <w:link w:val="FootnoteText"/>
    <w:uiPriority w:val="99"/>
    <w:rsid w:val="00361747"/>
    <w:rPr>
      <w:rFonts w:ascii="Arial" w:eastAsia="Malgun Gothic" w:hAnsi="Arial" w:cs="Times New Roman"/>
      <w:color w:val="000000"/>
      <w:sz w:val="18"/>
      <w:szCs w:val="20"/>
      <w:lang w:eastAsia="en-US"/>
    </w:rPr>
  </w:style>
  <w:style w:type="paragraph" w:styleId="BodyText">
    <w:name w:val="Body Text"/>
    <w:basedOn w:val="Normal"/>
    <w:link w:val="BodyTextChar"/>
    <w:uiPriority w:val="99"/>
    <w:rsid w:val="00851AA8"/>
    <w:pPr>
      <w:spacing w:after="120" w:line="340" w:lineRule="atLeast"/>
      <w:jc w:val="center"/>
    </w:pPr>
    <w:rPr>
      <w:rFonts w:ascii="Times New Roman" w:eastAsia="Malgun Gothic" w:hAnsi="Times New Roman" w:cs="Tahoma"/>
      <w:b/>
      <w:bCs/>
      <w:sz w:val="24"/>
      <w:lang w:val="en-GB" w:eastAsia="en-US"/>
    </w:rPr>
  </w:style>
  <w:style w:type="character" w:customStyle="1" w:styleId="BodyTextChar">
    <w:name w:val="Body Text Char"/>
    <w:basedOn w:val="DefaultParagraphFont"/>
    <w:link w:val="BodyText"/>
    <w:uiPriority w:val="99"/>
    <w:rsid w:val="00851AA8"/>
    <w:rPr>
      <w:rFonts w:ascii="Times New Roman" w:eastAsia="Malgun Gothic" w:hAnsi="Times New Roman" w:cs="Tahoma"/>
      <w:b/>
      <w:bCs/>
      <w:sz w:val="24"/>
      <w:lang w:val="en-GB" w:eastAsia="en-US"/>
    </w:rPr>
  </w:style>
  <w:style w:type="table" w:styleId="ColorfulList-Accent1">
    <w:name w:val="Colorful List Accent 1"/>
    <w:basedOn w:val="TableNormal"/>
    <w:uiPriority w:val="72"/>
    <w:rsid w:val="00A3254B"/>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9A0DF2"/>
    <w:rPr>
      <w:color w:val="0000FF" w:themeColor="hyperlink"/>
      <w:u w:val="single"/>
    </w:rPr>
  </w:style>
  <w:style w:type="character" w:customStyle="1" w:styleId="Heading2Char">
    <w:name w:val="Heading 2 Char"/>
    <w:basedOn w:val="DefaultParagraphFont"/>
    <w:link w:val="Heading2"/>
    <w:uiPriority w:val="99"/>
    <w:rsid w:val="008F33F5"/>
    <w:rPr>
      <w:rFonts w:ascii="Arial" w:eastAsia="SimSun" w:hAnsi="Arial" w:cs="Arial"/>
      <w:b/>
      <w:bCs/>
      <w:i/>
      <w:iCs/>
      <w:sz w:val="28"/>
      <w:szCs w:val="28"/>
      <w:lang w:eastAsia="zh-CN"/>
    </w:rPr>
  </w:style>
  <w:style w:type="paragraph" w:styleId="NoSpacing">
    <w:name w:val="No Spacing"/>
    <w:link w:val="NoSpacingChar"/>
    <w:uiPriority w:val="1"/>
    <w:qFormat/>
    <w:rsid w:val="000F6182"/>
    <w:pPr>
      <w:spacing w:after="0" w:line="240" w:lineRule="auto"/>
    </w:pPr>
    <w:rPr>
      <w:lang w:eastAsia="ja-JP"/>
    </w:rPr>
  </w:style>
  <w:style w:type="character" w:customStyle="1" w:styleId="NoSpacingChar">
    <w:name w:val="No Spacing Char"/>
    <w:basedOn w:val="DefaultParagraphFont"/>
    <w:link w:val="NoSpacing"/>
    <w:uiPriority w:val="1"/>
    <w:rsid w:val="000F6182"/>
    <w:rPr>
      <w:lang w:eastAsia="ja-JP"/>
    </w:rPr>
  </w:style>
  <w:style w:type="paragraph" w:styleId="TOC1">
    <w:name w:val="toc 1"/>
    <w:basedOn w:val="Normal"/>
    <w:next w:val="Normal"/>
    <w:autoRedefine/>
    <w:uiPriority w:val="39"/>
    <w:qFormat/>
    <w:rsid w:val="0077238F"/>
    <w:pPr>
      <w:tabs>
        <w:tab w:val="left" w:pos="480"/>
        <w:tab w:val="right" w:leader="dot" w:pos="8931"/>
      </w:tabs>
      <w:topLinePunct/>
      <w:spacing w:before="120" w:after="0" w:line="240" w:lineRule="atLeast"/>
      <w:jc w:val="both"/>
    </w:pPr>
    <w:rPr>
      <w:rFonts w:ascii="Book Antiqua" w:eastAsia="SimSun" w:hAnsi="Book Antiqua" w:cs="Times New Roman"/>
      <w:caps/>
      <w:noProof/>
      <w:lang w:eastAsia="en-US"/>
    </w:rPr>
  </w:style>
  <w:style w:type="character" w:customStyle="1" w:styleId="Heading1Char">
    <w:name w:val="Heading 1 Char"/>
    <w:basedOn w:val="DefaultParagraphFont"/>
    <w:link w:val="Heading1"/>
    <w:uiPriority w:val="9"/>
    <w:rsid w:val="003748F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3748FC"/>
    <w:pPr>
      <w:outlineLvl w:val="9"/>
    </w:pPr>
    <w:rPr>
      <w:lang w:eastAsia="ja-JP"/>
    </w:rPr>
  </w:style>
  <w:style w:type="paragraph" w:styleId="TOC2">
    <w:name w:val="toc 2"/>
    <w:basedOn w:val="Normal"/>
    <w:next w:val="Normal"/>
    <w:autoRedefine/>
    <w:uiPriority w:val="39"/>
    <w:unhideWhenUsed/>
    <w:qFormat/>
    <w:rsid w:val="000B3F63"/>
    <w:pPr>
      <w:numPr>
        <w:numId w:val="2"/>
      </w:numPr>
      <w:spacing w:after="0"/>
    </w:pPr>
    <w:rPr>
      <w:rFonts w:ascii="Book Antiqua" w:hAnsi="Book Antiqua"/>
      <w:b/>
      <w:caps/>
      <w:lang w:eastAsia="ja-JP"/>
    </w:rPr>
  </w:style>
  <w:style w:type="paragraph" w:styleId="TOC3">
    <w:name w:val="toc 3"/>
    <w:basedOn w:val="Normal"/>
    <w:next w:val="Normal"/>
    <w:autoRedefine/>
    <w:uiPriority w:val="39"/>
    <w:unhideWhenUsed/>
    <w:qFormat/>
    <w:rsid w:val="003748FC"/>
    <w:pPr>
      <w:spacing w:after="100"/>
      <w:ind w:left="440"/>
    </w:pPr>
    <w:rPr>
      <w:lang w:eastAsia="ja-JP"/>
    </w:rPr>
  </w:style>
  <w:style w:type="character" w:customStyle="1" w:styleId="Heading3Char">
    <w:name w:val="Heading 3 Char"/>
    <w:basedOn w:val="DefaultParagraphFont"/>
    <w:link w:val="Heading3"/>
    <w:uiPriority w:val="9"/>
    <w:rsid w:val="00382C66"/>
    <w:rPr>
      <w:rFonts w:asciiTheme="majorHAnsi" w:eastAsiaTheme="majorEastAsia" w:hAnsiTheme="majorHAnsi" w:cstheme="majorBidi"/>
      <w:color w:val="243F60" w:themeColor="accent1" w:themeShade="7F"/>
      <w:sz w:val="24"/>
      <w:szCs w:val="24"/>
    </w:rPr>
  </w:style>
  <w:style w:type="paragraph" w:styleId="Caption">
    <w:name w:val="caption"/>
    <w:basedOn w:val="Normal"/>
    <w:next w:val="Normal"/>
    <w:uiPriority w:val="35"/>
    <w:unhideWhenUsed/>
    <w:qFormat/>
    <w:rsid w:val="00AF36B6"/>
    <w:pPr>
      <w:spacing w:line="240" w:lineRule="auto"/>
    </w:pPr>
    <w:rPr>
      <w:i/>
      <w:iCs/>
      <w:color w:val="1F497D" w:themeColor="text2"/>
      <w:sz w:val="18"/>
      <w:szCs w:val="18"/>
    </w:rPr>
  </w:style>
  <w:style w:type="character" w:customStyle="1" w:styleId="ListParagraphChar">
    <w:name w:val="List Paragraph Char"/>
    <w:basedOn w:val="DefaultParagraphFont"/>
    <w:link w:val="ListParagraph"/>
    <w:uiPriority w:val="34"/>
    <w:rsid w:val="001D7696"/>
  </w:style>
  <w:style w:type="character" w:styleId="IntenseReference">
    <w:name w:val="Intense Reference"/>
    <w:basedOn w:val="DefaultParagraphFont"/>
    <w:uiPriority w:val="32"/>
    <w:qFormat/>
    <w:rsid w:val="006A51D1"/>
    <w:rPr>
      <w:b/>
      <w:bCs/>
      <w:smallCaps/>
      <w:color w:val="244061"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014374">
      <w:bodyDiv w:val="1"/>
      <w:marLeft w:val="0"/>
      <w:marRight w:val="0"/>
      <w:marTop w:val="0"/>
      <w:marBottom w:val="0"/>
      <w:divBdr>
        <w:top w:val="none" w:sz="0" w:space="0" w:color="auto"/>
        <w:left w:val="none" w:sz="0" w:space="0" w:color="auto"/>
        <w:bottom w:val="none" w:sz="0" w:space="0" w:color="auto"/>
        <w:right w:val="none" w:sz="0" w:space="0" w:color="auto"/>
      </w:divBdr>
    </w:div>
    <w:div w:id="599487276">
      <w:bodyDiv w:val="1"/>
      <w:marLeft w:val="0"/>
      <w:marRight w:val="0"/>
      <w:marTop w:val="0"/>
      <w:marBottom w:val="0"/>
      <w:divBdr>
        <w:top w:val="none" w:sz="0" w:space="0" w:color="auto"/>
        <w:left w:val="none" w:sz="0" w:space="0" w:color="auto"/>
        <w:bottom w:val="none" w:sz="0" w:space="0" w:color="auto"/>
        <w:right w:val="none" w:sz="0" w:space="0" w:color="auto"/>
      </w:divBdr>
    </w:div>
    <w:div w:id="1271015492">
      <w:bodyDiv w:val="1"/>
      <w:marLeft w:val="0"/>
      <w:marRight w:val="0"/>
      <w:marTop w:val="0"/>
      <w:marBottom w:val="0"/>
      <w:divBdr>
        <w:top w:val="none" w:sz="0" w:space="0" w:color="auto"/>
        <w:left w:val="none" w:sz="0" w:space="0" w:color="auto"/>
        <w:bottom w:val="none" w:sz="0" w:space="0" w:color="auto"/>
        <w:right w:val="none" w:sz="0" w:space="0" w:color="auto"/>
      </w:divBdr>
    </w:div>
    <w:div w:id="1656568847">
      <w:bodyDiv w:val="1"/>
      <w:marLeft w:val="0"/>
      <w:marRight w:val="0"/>
      <w:marTop w:val="0"/>
      <w:marBottom w:val="0"/>
      <w:divBdr>
        <w:top w:val="none" w:sz="0" w:space="0" w:color="auto"/>
        <w:left w:val="none" w:sz="0" w:space="0" w:color="auto"/>
        <w:bottom w:val="none" w:sz="0" w:space="0" w:color="auto"/>
        <w:right w:val="none" w:sz="0" w:space="0" w:color="auto"/>
      </w:divBdr>
      <w:divsChild>
        <w:div w:id="999580461">
          <w:marLeft w:val="547"/>
          <w:marRight w:val="0"/>
          <w:marTop w:val="0"/>
          <w:marBottom w:val="0"/>
          <w:divBdr>
            <w:top w:val="none" w:sz="0" w:space="0" w:color="auto"/>
            <w:left w:val="none" w:sz="0" w:space="0" w:color="auto"/>
            <w:bottom w:val="none" w:sz="0" w:space="0" w:color="auto"/>
            <w:right w:val="none" w:sz="0" w:space="0" w:color="auto"/>
          </w:divBdr>
        </w:div>
      </w:divsChild>
    </w:div>
    <w:div w:id="1712656452">
      <w:bodyDiv w:val="1"/>
      <w:marLeft w:val="0"/>
      <w:marRight w:val="0"/>
      <w:marTop w:val="0"/>
      <w:marBottom w:val="0"/>
      <w:divBdr>
        <w:top w:val="none" w:sz="0" w:space="0" w:color="auto"/>
        <w:left w:val="none" w:sz="0" w:space="0" w:color="auto"/>
        <w:bottom w:val="none" w:sz="0" w:space="0" w:color="auto"/>
        <w:right w:val="none" w:sz="0" w:space="0" w:color="auto"/>
      </w:divBdr>
    </w:div>
    <w:div w:id="18152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unescap.org/sites/default/files/ESCAP-Monitoring-and-Evaluation--Policy-and-Guidelines-2017-rev-20180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2015-08-01T00:00:00</PublishDate>
  <Abstract>This draft has been prepared by the Secretariat for consultation among member States and adoption by the 20th Senior Officials Meeting to be held in February 2016.</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6CDFAC-4A73-4A36-99EA-E0DF2287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2658</Words>
  <Characters>15151</Characters>
  <Application>Microsoft Office Word</Application>
  <DocSecurity>0</DocSecurity>
  <Lines>126</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(Draft) NEASPEC Strategic Plan 2016-2020</vt:lpstr>
      <vt:lpstr>(Draft) NEASPEC Strategic Plan 2016-2020</vt:lpstr>
    </vt:vector>
  </TitlesOfParts>
  <Company>North-east asian subregional programme for environmental cooperation</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NEASPEC Strategic Plan 2016-2020</dc:title>
  <dc:subject>2016-2020</dc:subject>
  <dc:creator>NEASPEC Secretariat</dc:creator>
  <cp:lastModifiedBy>Sangmin Nam</cp:lastModifiedBy>
  <cp:revision>5</cp:revision>
  <cp:lastPrinted>2020-09-23T00:39:00Z</cp:lastPrinted>
  <dcterms:created xsi:type="dcterms:W3CDTF">2020-09-21T06:07:00Z</dcterms:created>
  <dcterms:modified xsi:type="dcterms:W3CDTF">2020-09-23T00:39:00Z</dcterms:modified>
</cp:coreProperties>
</file>